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2943" w:rsidRDefault="00C72943"/>
    <w:p w:rsidR="00C72943" w:rsidRDefault="00C72943"/>
    <w:p w:rsidR="00C72943" w:rsidRDefault="00C72943"/>
    <w:p w:rsidR="00C72943" w:rsidRDefault="00C72943"/>
    <w:p w:rsidR="00C72943" w:rsidRDefault="00C72943"/>
    <w:p w:rsidR="00C72943" w:rsidRDefault="00C72943"/>
    <w:p w:rsidR="00C72943" w:rsidRDefault="00C72943"/>
    <w:p w:rsidR="00C72943" w:rsidRDefault="00C72943"/>
    <w:p w:rsidR="00C72943" w:rsidRDefault="00C72943"/>
    <w:p w:rsidR="00C72943" w:rsidRDefault="00C72943"/>
    <w:p w:rsidR="00C72943" w:rsidRDefault="00C72943"/>
    <w:p w:rsidR="00C72943" w:rsidRDefault="00C72943"/>
    <w:p w:rsidR="00C72943" w:rsidRDefault="00C72943"/>
    <w:p w:rsidR="00C72943" w:rsidRDefault="00C72943"/>
    <w:p w:rsidR="00C72943" w:rsidRDefault="00C72943"/>
    <w:p w:rsidR="00C72943" w:rsidRDefault="00C72943"/>
    <w:p w:rsidR="00C72943" w:rsidRDefault="00C72943"/>
    <w:p w:rsidR="00C72943" w:rsidRDefault="00C72943"/>
    <w:p w:rsidR="00C72943" w:rsidRDefault="00C72943"/>
    <w:p w:rsidR="00C72943" w:rsidRDefault="00C72943"/>
    <w:p w:rsidR="00C72943" w:rsidRDefault="00C72943"/>
    <w:p w:rsidR="00C72943" w:rsidRDefault="00C72943"/>
    <w:p w:rsidR="00C72943" w:rsidRDefault="00C72943"/>
    <w:p w:rsidR="00C72943" w:rsidRDefault="00C72943"/>
    <w:p w:rsidR="00C72943" w:rsidRDefault="00C72943"/>
    <w:p w:rsidR="00C72943" w:rsidRDefault="00C72943"/>
    <w:p w:rsidR="00C72943" w:rsidRDefault="00C72943"/>
    <w:p w:rsidR="00C72943" w:rsidRDefault="00C72943"/>
    <w:p w:rsidR="00C72943" w:rsidRDefault="00C72943"/>
    <w:p w:rsidR="00C72943" w:rsidRDefault="00C72943"/>
    <w:p w:rsidR="00C72943" w:rsidRDefault="00C72943"/>
    <w:p w:rsidR="00C72943" w:rsidRDefault="00C72943"/>
    <w:p w:rsidR="00C72943" w:rsidRDefault="00C72943"/>
    <w:p w:rsidR="00C72943" w:rsidRDefault="00C72943"/>
    <w:p w:rsidR="00C72943" w:rsidRDefault="00C72943"/>
    <w:p w:rsidR="00C72943" w:rsidRDefault="00C72943"/>
    <w:p w:rsidR="00C72943" w:rsidRDefault="00C72943"/>
    <w:p w:rsidR="00C72943" w:rsidRDefault="00C72943"/>
    <w:p w:rsidR="00C72943" w:rsidRDefault="00C72943"/>
    <w:p w:rsidR="00C72943" w:rsidRDefault="00C72943"/>
    <w:p w:rsidR="00C72943" w:rsidRDefault="00C72943"/>
    <w:p w:rsidR="00C72943" w:rsidRDefault="00C72943"/>
    <w:p w:rsidR="00C72943" w:rsidRDefault="00C72943"/>
    <w:p w:rsidR="00C72943" w:rsidRDefault="00C72943"/>
    <w:p w:rsidR="00C72943" w:rsidRDefault="00C72943"/>
    <w:p w:rsidR="00C72943" w:rsidRDefault="00C72943"/>
    <w:tbl>
      <w:tblPr>
        <w:tblW w:w="9077" w:type="dxa"/>
        <w:tblLook w:val="04A0"/>
      </w:tblPr>
      <w:tblGrid>
        <w:gridCol w:w="1403"/>
        <w:gridCol w:w="296"/>
        <w:gridCol w:w="7378"/>
      </w:tblGrid>
      <w:tr w:rsidR="00600452" w:rsidTr="00C72943">
        <w:tc>
          <w:tcPr>
            <w:tcW w:w="1403" w:type="dxa"/>
            <w:vAlign w:val="center"/>
          </w:tcPr>
          <w:p w:rsidR="00600452" w:rsidRPr="00331968" w:rsidRDefault="00600452" w:rsidP="00FA480B">
            <w:pPr>
              <w:spacing w:line="360" w:lineRule="auto"/>
              <w:rPr>
                <w:b/>
              </w:rPr>
            </w:pPr>
          </w:p>
        </w:tc>
        <w:tc>
          <w:tcPr>
            <w:tcW w:w="296" w:type="dxa"/>
            <w:vAlign w:val="center"/>
          </w:tcPr>
          <w:p w:rsidR="00600452" w:rsidRDefault="00600452" w:rsidP="00FA480B">
            <w:pPr>
              <w:spacing w:line="360" w:lineRule="auto"/>
            </w:pPr>
          </w:p>
        </w:tc>
        <w:tc>
          <w:tcPr>
            <w:tcW w:w="7378" w:type="dxa"/>
            <w:vAlign w:val="center"/>
          </w:tcPr>
          <w:p w:rsidR="00600452" w:rsidRDefault="00600452" w:rsidP="00FA480B">
            <w:pPr>
              <w:spacing w:line="360" w:lineRule="auto"/>
            </w:pPr>
          </w:p>
        </w:tc>
      </w:tr>
    </w:tbl>
    <w:p w:rsidR="002F449B" w:rsidRDefault="002F449B" w:rsidP="006735F2"/>
    <w:p w:rsidR="002F449B" w:rsidRDefault="002F449B" w:rsidP="006735F2"/>
    <w:p w:rsidR="009211DC" w:rsidRPr="002F449B" w:rsidRDefault="00C47BFA" w:rsidP="006735F2">
      <w:r>
        <w:t xml:space="preserve">  </w:t>
      </w:r>
    </w:p>
    <w:p w:rsidR="005565A7" w:rsidRPr="00BC2B05" w:rsidRDefault="00002145" w:rsidP="00A54219">
      <w:pPr>
        <w:numPr>
          <w:ilvl w:val="0"/>
          <w:numId w:val="1"/>
        </w:numPr>
        <w:tabs>
          <w:tab w:val="clear" w:pos="540"/>
          <w:tab w:val="num" w:pos="360"/>
        </w:tabs>
        <w:ind w:left="360"/>
        <w:rPr>
          <w:b/>
          <w:sz w:val="28"/>
          <w:szCs w:val="28"/>
          <w:u w:val="single"/>
        </w:rPr>
      </w:pPr>
      <w:r w:rsidRPr="00BC2B05">
        <w:rPr>
          <w:b/>
          <w:sz w:val="28"/>
          <w:szCs w:val="28"/>
          <w:u w:val="single"/>
        </w:rPr>
        <w:lastRenderedPageBreak/>
        <w:t>Úvod</w:t>
      </w:r>
    </w:p>
    <w:p w:rsidR="00002145" w:rsidRPr="00BC2B05" w:rsidRDefault="00002145" w:rsidP="001E3CDA">
      <w:pPr>
        <w:ind w:left="540"/>
        <w:jc w:val="both"/>
        <w:rPr>
          <w:b/>
          <w:sz w:val="28"/>
          <w:szCs w:val="28"/>
        </w:rPr>
      </w:pPr>
    </w:p>
    <w:p w:rsidR="00E60B73" w:rsidRDefault="0063444C" w:rsidP="00CA69CD">
      <w:pPr>
        <w:spacing w:after="120"/>
        <w:ind w:firstLine="708"/>
        <w:jc w:val="both"/>
      </w:pPr>
      <w:r>
        <w:t xml:space="preserve">Toto požárně </w:t>
      </w:r>
      <w:r w:rsidRPr="00906E8E">
        <w:t>bezpečnos</w:t>
      </w:r>
      <w:r w:rsidR="00B56A27" w:rsidRPr="00906E8E">
        <w:t>tní řešení</w:t>
      </w:r>
      <w:r w:rsidR="007D33A6" w:rsidRPr="00906E8E">
        <w:t xml:space="preserve"> řeší</w:t>
      </w:r>
      <w:r w:rsidR="00604FC4" w:rsidRPr="00906E8E">
        <w:t xml:space="preserve"> stavební úpravy, </w:t>
      </w:r>
      <w:r w:rsidR="00E15326" w:rsidRPr="00906E8E">
        <w:t>půdní vestavbu</w:t>
      </w:r>
      <w:r w:rsidR="00B56A27" w:rsidRPr="00906E8E">
        <w:t xml:space="preserve"> stávajícího </w:t>
      </w:r>
      <w:r w:rsidR="00E15326" w:rsidRPr="00906E8E">
        <w:t xml:space="preserve">bytového domu </w:t>
      </w:r>
      <w:r w:rsidR="00C57A3C" w:rsidRPr="00906E8E">
        <w:t>Plynárenská 263/8</w:t>
      </w:r>
      <w:r w:rsidR="00E15326" w:rsidRPr="00906E8E">
        <w:t xml:space="preserve"> </w:t>
      </w:r>
      <w:r w:rsidR="007D33A6" w:rsidRPr="00906E8E">
        <w:t>na</w:t>
      </w:r>
      <w:r w:rsidRPr="00906E8E">
        <w:t xml:space="preserve"> </w:t>
      </w:r>
      <w:proofErr w:type="spellStart"/>
      <w:proofErr w:type="gramStart"/>
      <w:r w:rsidRPr="00906E8E">
        <w:t>p.č</w:t>
      </w:r>
      <w:proofErr w:type="spellEnd"/>
      <w:r w:rsidRPr="00906E8E">
        <w:t>.</w:t>
      </w:r>
      <w:proofErr w:type="gramEnd"/>
      <w:r w:rsidRPr="00906E8E">
        <w:t xml:space="preserve"> </w:t>
      </w:r>
      <w:r w:rsidR="00F2438F" w:rsidRPr="00906E8E">
        <w:t>879</w:t>
      </w:r>
      <w:r w:rsidRPr="00906E8E">
        <w:t xml:space="preserve">, k. </w:t>
      </w:r>
      <w:proofErr w:type="spellStart"/>
      <w:r w:rsidRPr="00906E8E">
        <w:t>ú</w:t>
      </w:r>
      <w:proofErr w:type="spellEnd"/>
      <w:r w:rsidRPr="00906E8E">
        <w:t xml:space="preserve">. </w:t>
      </w:r>
      <w:r w:rsidR="00906E8E" w:rsidRPr="00906E8E">
        <w:t>Zábrdovice.</w:t>
      </w:r>
    </w:p>
    <w:p w:rsidR="00002145" w:rsidRPr="00E15326" w:rsidRDefault="00B2079A" w:rsidP="00CA69CD">
      <w:pPr>
        <w:spacing w:after="120"/>
        <w:ind w:firstLine="708"/>
        <w:jc w:val="both"/>
      </w:pPr>
      <w:r w:rsidRPr="00E15326">
        <w:t>Navrhované</w:t>
      </w:r>
      <w:r w:rsidR="00326453" w:rsidRPr="00E15326">
        <w:t xml:space="preserve"> </w:t>
      </w:r>
      <w:r w:rsidRPr="00E15326">
        <w:t>stavební úpravy jsou</w:t>
      </w:r>
      <w:r w:rsidR="00002145" w:rsidRPr="00E15326">
        <w:t xml:space="preserve"> z hledisk</w:t>
      </w:r>
      <w:r w:rsidRPr="00E15326">
        <w:t>a požární bezpečnosti staveb posuzovány</w:t>
      </w:r>
      <w:r w:rsidR="00763538" w:rsidRPr="00E15326">
        <w:t xml:space="preserve"> </w:t>
      </w:r>
      <w:r w:rsidR="00002145" w:rsidRPr="00E15326">
        <w:t xml:space="preserve">podle </w:t>
      </w:r>
      <w:r w:rsidR="003C519A" w:rsidRPr="00E15326">
        <w:t xml:space="preserve">ČSN 73 0834 PBS Změny staveb a </w:t>
      </w:r>
      <w:r w:rsidR="00692229" w:rsidRPr="00E15326">
        <w:t>ČSN 73 0833 Budovy pro bydlení a ubytování</w:t>
      </w:r>
      <w:r w:rsidR="00002145" w:rsidRPr="00E15326">
        <w:t xml:space="preserve"> a dalších souvisejících norem</w:t>
      </w:r>
      <w:r w:rsidR="00B134BD" w:rsidRPr="00E15326">
        <w:t>.</w:t>
      </w:r>
      <w:r w:rsidR="00002145" w:rsidRPr="00E15326">
        <w:t xml:space="preserve"> </w:t>
      </w:r>
      <w:r w:rsidR="003C519A" w:rsidRPr="00E15326">
        <w:t xml:space="preserve">Navrhovaná změna stavby bude řešena jako změna stavby skupiny II, </w:t>
      </w:r>
      <w:r w:rsidR="005554E5" w:rsidRPr="00E15326">
        <w:t xml:space="preserve">původní </w:t>
      </w:r>
      <w:r w:rsidR="003C519A" w:rsidRPr="00E15326">
        <w:t xml:space="preserve">objekt byl vystavěn před vstupem v platnost norem řady </w:t>
      </w:r>
      <w:proofErr w:type="gramStart"/>
      <w:r w:rsidR="003C519A" w:rsidRPr="00E15326">
        <w:t>73 08..</w:t>
      </w:r>
      <w:proofErr w:type="gramEnd"/>
      <w:r w:rsidR="00E15326" w:rsidRPr="00E15326">
        <w:t xml:space="preserve"> V souladu s čl. 3.5 ČSN 73 0834 se nejedná o změnu staveb skupiny III., neboť nedochází ke změně objektu nástavbou nebo vestavbou o více než dvě užitná podlaží</w:t>
      </w:r>
      <w:r w:rsidR="00C57A3C">
        <w:t>, zároveň dochází k výměně stro</w:t>
      </w:r>
      <w:r w:rsidR="00CD4480">
        <w:t>p</w:t>
      </w:r>
      <w:r w:rsidR="00C57A3C">
        <w:t>ních konstrukcí druhu DP2 za druh DP1</w:t>
      </w:r>
      <w:r w:rsidR="00E15326" w:rsidRPr="00E15326">
        <w:t>.</w:t>
      </w:r>
    </w:p>
    <w:p w:rsidR="00363566" w:rsidRDefault="00334BE7" w:rsidP="00CA69CD">
      <w:pPr>
        <w:spacing w:after="120"/>
        <w:ind w:firstLine="708"/>
        <w:jc w:val="both"/>
      </w:pPr>
      <w:r>
        <w:t xml:space="preserve">Podkladem pro vypracování </w:t>
      </w:r>
      <w:r w:rsidR="00FA5075">
        <w:t>PBŘ</w:t>
      </w:r>
      <w:r w:rsidR="00F97C31">
        <w:t xml:space="preserve"> byla </w:t>
      </w:r>
      <w:r w:rsidR="00363566">
        <w:t>následující dokumentace:</w:t>
      </w:r>
    </w:p>
    <w:p w:rsidR="00B56A27" w:rsidRPr="0066537E" w:rsidRDefault="00F97C31" w:rsidP="00363566">
      <w:pPr>
        <w:pStyle w:val="Odstavecseseznamem"/>
        <w:numPr>
          <w:ilvl w:val="0"/>
          <w:numId w:val="17"/>
        </w:numPr>
        <w:spacing w:after="120"/>
        <w:jc w:val="both"/>
      </w:pPr>
      <w:r w:rsidRPr="0066537E">
        <w:t>stavební projektová dokumentace</w:t>
      </w:r>
      <w:r w:rsidR="00363566" w:rsidRPr="0066537E">
        <w:t xml:space="preserve"> pro stupeň DPP</w:t>
      </w:r>
      <w:r w:rsidR="00C57A3C" w:rsidRPr="0066537E">
        <w:t>,</w:t>
      </w:r>
      <w:r w:rsidR="001A2D8A" w:rsidRPr="0066537E">
        <w:t xml:space="preserve"> </w:t>
      </w:r>
      <w:r w:rsidR="00C57A3C" w:rsidRPr="0066537E">
        <w:t xml:space="preserve">zpracovatel </w:t>
      </w:r>
      <w:proofErr w:type="gramStart"/>
      <w:r w:rsidR="00C57A3C" w:rsidRPr="0066537E">
        <w:t>P.P.</w:t>
      </w:r>
      <w:proofErr w:type="gramEnd"/>
      <w:r w:rsidR="00C57A3C" w:rsidRPr="0066537E">
        <w:t xml:space="preserve"> </w:t>
      </w:r>
      <w:proofErr w:type="spellStart"/>
      <w:r w:rsidR="00C57A3C" w:rsidRPr="0066537E">
        <w:t>Architects</w:t>
      </w:r>
      <w:proofErr w:type="spellEnd"/>
      <w:r w:rsidR="00C57A3C" w:rsidRPr="0066537E">
        <w:t xml:space="preserve"> s.r.o., </w:t>
      </w:r>
      <w:r w:rsidR="0066537E" w:rsidRPr="0066537E">
        <w:t>duben</w:t>
      </w:r>
      <w:r w:rsidR="00363566" w:rsidRPr="0066537E">
        <w:t xml:space="preserve"> 2018,</w:t>
      </w:r>
    </w:p>
    <w:p w:rsidR="00363566" w:rsidRPr="0066537E" w:rsidRDefault="00363566" w:rsidP="00363566">
      <w:pPr>
        <w:pStyle w:val="Odstavecseseznamem"/>
        <w:numPr>
          <w:ilvl w:val="0"/>
          <w:numId w:val="17"/>
        </w:numPr>
        <w:spacing w:after="120"/>
        <w:jc w:val="both"/>
      </w:pPr>
      <w:r w:rsidRPr="0066537E">
        <w:t xml:space="preserve">požárně bezpečnostní řešení pro stupeň DSP, zpracovatel Ing. </w:t>
      </w:r>
      <w:proofErr w:type="spellStart"/>
      <w:r w:rsidRPr="0066537E">
        <w:t>Grešák</w:t>
      </w:r>
      <w:proofErr w:type="spellEnd"/>
      <w:r w:rsidRPr="0066537E">
        <w:t>, prosinec 2017,</w:t>
      </w:r>
    </w:p>
    <w:p w:rsidR="00363566" w:rsidRPr="0066537E" w:rsidRDefault="00363566" w:rsidP="00363566">
      <w:pPr>
        <w:pStyle w:val="Odstavecseseznamem"/>
        <w:numPr>
          <w:ilvl w:val="0"/>
          <w:numId w:val="17"/>
        </w:numPr>
        <w:spacing w:after="120"/>
        <w:jc w:val="both"/>
      </w:pPr>
      <w:r w:rsidRPr="0066537E">
        <w:t xml:space="preserve">stanovisko HZS k PBŘ pro stupeň DSP, </w:t>
      </w:r>
      <w:proofErr w:type="spellStart"/>
      <w:r w:rsidRPr="0066537E">
        <w:t>ev.č</w:t>
      </w:r>
      <w:proofErr w:type="spellEnd"/>
      <w:r w:rsidRPr="0066537E">
        <w:t xml:space="preserve">. HSBM-73-1-3171/1-OPST-2017 ze dne </w:t>
      </w:r>
      <w:proofErr w:type="gramStart"/>
      <w:r w:rsidRPr="0066537E">
        <w:t>3.1.2018</w:t>
      </w:r>
      <w:proofErr w:type="gramEnd"/>
      <w:r w:rsidRPr="0066537E">
        <w:t>.</w:t>
      </w:r>
    </w:p>
    <w:p w:rsidR="00FA5075" w:rsidRDefault="00FA5075" w:rsidP="00735E7A">
      <w:pPr>
        <w:spacing w:after="120"/>
        <w:rPr>
          <w:b/>
          <w:sz w:val="28"/>
          <w:szCs w:val="28"/>
        </w:rPr>
      </w:pPr>
    </w:p>
    <w:p w:rsidR="005565A7" w:rsidRPr="00BC2B05" w:rsidRDefault="00D81713" w:rsidP="00A54219">
      <w:pPr>
        <w:numPr>
          <w:ilvl w:val="0"/>
          <w:numId w:val="1"/>
        </w:numPr>
        <w:tabs>
          <w:tab w:val="clear" w:pos="540"/>
          <w:tab w:val="num" w:pos="360"/>
        </w:tabs>
        <w:ind w:left="360"/>
        <w:rPr>
          <w:b/>
          <w:sz w:val="28"/>
          <w:szCs w:val="28"/>
          <w:u w:val="single"/>
        </w:rPr>
      </w:pPr>
      <w:r w:rsidRPr="00BC2B05">
        <w:rPr>
          <w:b/>
          <w:sz w:val="28"/>
          <w:szCs w:val="28"/>
          <w:u w:val="single"/>
        </w:rPr>
        <w:t>Popis objektu</w:t>
      </w:r>
    </w:p>
    <w:p w:rsidR="00AA154F" w:rsidRDefault="00AA154F" w:rsidP="00AA154F">
      <w:pPr>
        <w:rPr>
          <w:b/>
          <w:sz w:val="28"/>
          <w:szCs w:val="28"/>
        </w:rPr>
      </w:pPr>
    </w:p>
    <w:p w:rsidR="002B2B45" w:rsidRPr="001540F6" w:rsidRDefault="002F3BC1" w:rsidP="00A54219">
      <w:pPr>
        <w:numPr>
          <w:ilvl w:val="0"/>
          <w:numId w:val="2"/>
        </w:numPr>
        <w:tabs>
          <w:tab w:val="clear" w:pos="540"/>
          <w:tab w:val="num" w:pos="360"/>
        </w:tabs>
        <w:ind w:left="360"/>
        <w:jc w:val="both"/>
        <w:rPr>
          <w:b/>
          <w:sz w:val="28"/>
          <w:szCs w:val="28"/>
        </w:rPr>
      </w:pPr>
      <w:r>
        <w:rPr>
          <w:b/>
          <w:sz w:val="28"/>
          <w:szCs w:val="28"/>
        </w:rPr>
        <w:t>Dispoziční a k</w:t>
      </w:r>
      <w:r w:rsidR="002A4C04">
        <w:rPr>
          <w:b/>
          <w:sz w:val="28"/>
          <w:szCs w:val="28"/>
        </w:rPr>
        <w:t xml:space="preserve">onstrukční </w:t>
      </w:r>
      <w:r w:rsidR="00D81713" w:rsidRPr="001540F6">
        <w:rPr>
          <w:b/>
          <w:sz w:val="28"/>
          <w:szCs w:val="28"/>
        </w:rPr>
        <w:t>řešení</w:t>
      </w:r>
    </w:p>
    <w:p w:rsidR="00B24460" w:rsidRDefault="00B24460" w:rsidP="00B24460">
      <w:pPr>
        <w:jc w:val="both"/>
        <w:rPr>
          <w:b/>
          <w:sz w:val="28"/>
          <w:szCs w:val="28"/>
        </w:rPr>
      </w:pPr>
    </w:p>
    <w:p w:rsidR="00CD4480" w:rsidRDefault="00E15326" w:rsidP="00CD4480">
      <w:pPr>
        <w:spacing w:after="120"/>
        <w:ind w:firstLine="708"/>
        <w:jc w:val="both"/>
      </w:pPr>
      <w:r w:rsidRPr="00C57A3C">
        <w:t xml:space="preserve">Stávající bytový dům je </w:t>
      </w:r>
      <w:r w:rsidR="00F2438F" w:rsidRPr="00C57A3C">
        <w:t>čtyřpodlažní podsklepený</w:t>
      </w:r>
      <w:r w:rsidR="00C57A3C" w:rsidRPr="00C57A3C">
        <w:t xml:space="preserve"> s nevyužívanými půdními prostory</w:t>
      </w:r>
      <w:r w:rsidR="00F2438F" w:rsidRPr="00C57A3C">
        <w:t>.</w:t>
      </w:r>
      <w:r w:rsidR="00C57A3C" w:rsidRPr="00C57A3C">
        <w:t xml:space="preserve"> </w:t>
      </w:r>
      <w:proofErr w:type="gramStart"/>
      <w:r w:rsidR="00C57A3C" w:rsidRPr="00C57A3C">
        <w:t>V 1.PP</w:t>
      </w:r>
      <w:proofErr w:type="gramEnd"/>
      <w:r w:rsidR="00C57A3C" w:rsidRPr="00C57A3C">
        <w:t xml:space="preserve"> se nachází sklepní prostory.</w:t>
      </w:r>
      <w:r w:rsidR="00F2438F" w:rsidRPr="00C57A3C">
        <w:t xml:space="preserve"> V 1.NP – 4</w:t>
      </w:r>
      <w:r w:rsidRPr="00C57A3C">
        <w:t>.NP se nacházejí bytové jednotky</w:t>
      </w:r>
      <w:r w:rsidR="00B2009B" w:rsidRPr="00C57A3C">
        <w:t xml:space="preserve">. </w:t>
      </w:r>
      <w:r w:rsidR="00CD4480">
        <w:t>Projektovým návrhem je nově navržena vestavba 5.NP, kde místo prostor půdy jsou navrženy tři bytové jednotky.</w:t>
      </w:r>
      <w:r w:rsidR="00B93A60">
        <w:t xml:space="preserve"> </w:t>
      </w:r>
      <w:r w:rsidR="00B93A60" w:rsidRPr="00B93A60">
        <w:t>Krajní byty jsou vždy, krom 1.NP, řešeny jako upravitelné, umožňující užívání osob s omezenou schopností pohybu nebo orientace.</w:t>
      </w:r>
      <w:r w:rsidR="00E556B1">
        <w:t xml:space="preserve"> 2.NP – 4.NP jsou dispozičně totožné.</w:t>
      </w:r>
    </w:p>
    <w:p w:rsidR="00C57A3C" w:rsidRPr="00C57A3C" w:rsidRDefault="00B2009B" w:rsidP="00CA69CD">
      <w:pPr>
        <w:spacing w:after="120"/>
        <w:ind w:firstLine="708"/>
        <w:jc w:val="both"/>
      </w:pPr>
      <w:r w:rsidRPr="00C57A3C">
        <w:t xml:space="preserve">Obvodové a vnitřní zdivo je cihelné různých </w:t>
      </w:r>
      <w:proofErr w:type="spellStart"/>
      <w:r w:rsidRPr="00C57A3C">
        <w:t>tlouštěk</w:t>
      </w:r>
      <w:proofErr w:type="spellEnd"/>
      <w:r w:rsidRPr="00C57A3C">
        <w:t xml:space="preserve">, </w:t>
      </w:r>
      <w:r w:rsidR="00C57A3C" w:rsidRPr="00C57A3C">
        <w:t>nové zdivo je navrženo z tvárnic YTONG včetně dozdívek.</w:t>
      </w:r>
      <w:r w:rsidR="006A0581">
        <w:t xml:space="preserve"> Obvodové zdivo dvorní fasády bude zatepleno kontaktním zateplovacím systémem s tepelnou izolací </w:t>
      </w:r>
      <w:r w:rsidR="00CD4480">
        <w:t>z minerální vaty</w:t>
      </w:r>
      <w:r w:rsidR="006A0581">
        <w:t xml:space="preserve"> </w:t>
      </w:r>
      <w:proofErr w:type="spellStart"/>
      <w:r w:rsidR="006A0581">
        <w:t>tl</w:t>
      </w:r>
      <w:proofErr w:type="spellEnd"/>
      <w:r w:rsidR="006A0581">
        <w:t xml:space="preserve">. 160 mm. </w:t>
      </w:r>
    </w:p>
    <w:p w:rsidR="006A0581" w:rsidRPr="006A0581" w:rsidRDefault="006A0581" w:rsidP="00CA69CD">
      <w:pPr>
        <w:spacing w:after="120"/>
        <w:ind w:firstLine="708"/>
        <w:jc w:val="both"/>
      </w:pPr>
      <w:r w:rsidRPr="006A0581">
        <w:t>S</w:t>
      </w:r>
      <w:r w:rsidR="00B2009B" w:rsidRPr="006A0581">
        <w:t xml:space="preserve">távající stropní konstrukce </w:t>
      </w:r>
      <w:proofErr w:type="gramStart"/>
      <w:r w:rsidR="00C57A3C" w:rsidRPr="006A0581">
        <w:t>nad 1.-4.NP</w:t>
      </w:r>
      <w:proofErr w:type="gramEnd"/>
      <w:r w:rsidR="00C57A3C" w:rsidRPr="006A0581">
        <w:t xml:space="preserve"> </w:t>
      </w:r>
      <w:r w:rsidR="00B2009B" w:rsidRPr="006A0581">
        <w:t xml:space="preserve">jsou </w:t>
      </w:r>
      <w:r w:rsidR="00C57A3C" w:rsidRPr="006A0581">
        <w:t>dřevěné trámové</w:t>
      </w:r>
      <w:r w:rsidR="00B2009B" w:rsidRPr="006A0581">
        <w:t>,</w:t>
      </w:r>
      <w:r w:rsidR="00C57A3C" w:rsidRPr="006A0581">
        <w:t xml:space="preserve"> tyto budou nahrazeny </w:t>
      </w:r>
      <w:r w:rsidRPr="006A0581">
        <w:t xml:space="preserve">novou stropní konstrukcí jejíž nosným prvkem je ocelový lisovaný I profil. Na nosníky bude uložen trapézový plech, který bude zalitý betonovou mazaninou. </w:t>
      </w:r>
      <w:r>
        <w:t xml:space="preserve">Ze spodní strany stropní konstrukce bude SDK podhled. </w:t>
      </w:r>
      <w:r w:rsidR="00CD4480">
        <w:t>V 1 PP a v čá</w:t>
      </w:r>
      <w:r w:rsidRPr="006A0581">
        <w:t>sti schodiště budou ponechány zděné klenby.</w:t>
      </w:r>
    </w:p>
    <w:p w:rsidR="006A0581" w:rsidRPr="006A0581" w:rsidRDefault="006A0581" w:rsidP="00CA69CD">
      <w:pPr>
        <w:spacing w:after="120"/>
        <w:ind w:firstLine="708"/>
        <w:jc w:val="both"/>
      </w:pPr>
      <w:r w:rsidRPr="006A0581">
        <w:t>S</w:t>
      </w:r>
      <w:r w:rsidR="005E7492" w:rsidRPr="006A0581">
        <w:t>třešní konstrukce</w:t>
      </w:r>
      <w:r w:rsidRPr="006A0581">
        <w:t xml:space="preserve"> stávající</w:t>
      </w:r>
      <w:r w:rsidR="005E7492" w:rsidRPr="006A0581">
        <w:t xml:space="preserve"> dřevěný krov</w:t>
      </w:r>
      <w:r w:rsidRPr="006A0581">
        <w:t>.</w:t>
      </w:r>
    </w:p>
    <w:p w:rsidR="00F51311" w:rsidRPr="00273E2D" w:rsidRDefault="000E4C3E" w:rsidP="00F2438F">
      <w:pPr>
        <w:spacing w:after="120"/>
        <w:jc w:val="both"/>
      </w:pPr>
      <w:r>
        <w:tab/>
      </w:r>
      <w:r w:rsidR="00B06BD2" w:rsidRPr="00F2438F">
        <w:rPr>
          <w:color w:val="FF0000"/>
        </w:rPr>
        <w:tab/>
      </w:r>
      <w:r w:rsidR="00760A14" w:rsidRPr="00273E2D">
        <w:t xml:space="preserve">Konstrukční </w:t>
      </w:r>
      <w:r w:rsidR="00E60B73" w:rsidRPr="00273E2D">
        <w:t>systém je v souladu s čl. 7.2.8</w:t>
      </w:r>
      <w:r w:rsidR="00937D7A" w:rsidRPr="00273E2D">
        <w:t> </w:t>
      </w:r>
      <w:r w:rsidR="00E60B73" w:rsidRPr="00273E2D">
        <w:t>ČSN 73 0802</w:t>
      </w:r>
      <w:r w:rsidR="00760A14" w:rsidRPr="00273E2D">
        <w:t xml:space="preserve"> </w:t>
      </w:r>
      <w:r w:rsidR="00B06BD2" w:rsidRPr="00273E2D">
        <w:t>s přihlédnutím k čl. 7.2.12b) ČSN 73 0802 nehořlavý</w:t>
      </w:r>
      <w:r w:rsidR="00760A14" w:rsidRPr="00273E2D">
        <w:t>.</w:t>
      </w:r>
    </w:p>
    <w:p w:rsidR="003C6EAB" w:rsidRPr="00273E2D" w:rsidRDefault="002F3BC1" w:rsidP="00CA69CD">
      <w:pPr>
        <w:spacing w:after="120"/>
        <w:ind w:firstLine="708"/>
        <w:jc w:val="both"/>
      </w:pPr>
      <w:r w:rsidRPr="00273E2D">
        <w:t>Požární výška objektu je</w:t>
      </w:r>
      <w:r w:rsidR="00760A14" w:rsidRPr="00273E2D">
        <w:t xml:space="preserve"> </w:t>
      </w:r>
      <w:r w:rsidR="0066537E">
        <w:t>14,9</w:t>
      </w:r>
      <w:r w:rsidR="006E1084" w:rsidRPr="00273E2D">
        <w:t>7</w:t>
      </w:r>
      <w:r w:rsidR="00227FB1" w:rsidRPr="00273E2D">
        <w:t xml:space="preserve"> </w:t>
      </w:r>
      <w:r w:rsidR="00760A14" w:rsidRPr="00273E2D">
        <w:t>m.</w:t>
      </w:r>
    </w:p>
    <w:p w:rsidR="00960689" w:rsidRDefault="00960689" w:rsidP="00B24460">
      <w:pPr>
        <w:ind w:firstLine="708"/>
        <w:jc w:val="both"/>
      </w:pPr>
    </w:p>
    <w:p w:rsidR="0066537E" w:rsidRDefault="0066537E" w:rsidP="00B24460">
      <w:pPr>
        <w:ind w:firstLine="708"/>
        <w:jc w:val="both"/>
      </w:pPr>
    </w:p>
    <w:p w:rsidR="0066537E" w:rsidRPr="006C59A4" w:rsidRDefault="0066537E" w:rsidP="00B24460">
      <w:pPr>
        <w:ind w:firstLine="708"/>
        <w:jc w:val="both"/>
      </w:pPr>
    </w:p>
    <w:p w:rsidR="003F13B6" w:rsidRPr="006C59A4" w:rsidRDefault="003F13B6" w:rsidP="00B24460">
      <w:pPr>
        <w:ind w:firstLine="708"/>
        <w:jc w:val="both"/>
      </w:pPr>
    </w:p>
    <w:p w:rsidR="001A4E8A" w:rsidRPr="006C59A4" w:rsidRDefault="001A4E8A" w:rsidP="00A54219">
      <w:pPr>
        <w:numPr>
          <w:ilvl w:val="0"/>
          <w:numId w:val="1"/>
        </w:numPr>
        <w:tabs>
          <w:tab w:val="clear" w:pos="540"/>
          <w:tab w:val="num" w:pos="360"/>
        </w:tabs>
        <w:ind w:left="360"/>
        <w:jc w:val="both"/>
        <w:rPr>
          <w:b/>
          <w:sz w:val="28"/>
          <w:szCs w:val="28"/>
          <w:u w:val="single"/>
        </w:rPr>
      </w:pPr>
      <w:r w:rsidRPr="006C59A4">
        <w:rPr>
          <w:b/>
          <w:sz w:val="28"/>
          <w:szCs w:val="28"/>
          <w:u w:val="single"/>
        </w:rPr>
        <w:lastRenderedPageBreak/>
        <w:t>Požární bezpečnost stavby</w:t>
      </w:r>
    </w:p>
    <w:p w:rsidR="003E1218" w:rsidRPr="006C59A4" w:rsidRDefault="003E1218" w:rsidP="003E1218">
      <w:pPr>
        <w:ind w:left="180"/>
        <w:jc w:val="both"/>
        <w:rPr>
          <w:b/>
          <w:sz w:val="28"/>
          <w:szCs w:val="28"/>
          <w:u w:val="single"/>
        </w:rPr>
      </w:pPr>
    </w:p>
    <w:p w:rsidR="002A4213" w:rsidRPr="006C59A4" w:rsidRDefault="002A4213" w:rsidP="002A4213">
      <w:pPr>
        <w:ind w:firstLine="708"/>
        <w:jc w:val="both"/>
      </w:pPr>
      <w:r w:rsidRPr="006C59A4">
        <w:t>Požární bezpečnost stavby byla posuzována podle následujících norem:</w:t>
      </w:r>
    </w:p>
    <w:p w:rsidR="002A4213" w:rsidRPr="006C59A4" w:rsidRDefault="00C833FC" w:rsidP="002A4213">
      <w:pPr>
        <w:jc w:val="both"/>
      </w:pPr>
      <w:r w:rsidRPr="006C59A4">
        <w:t>ČSN</w:t>
      </w:r>
      <w:r w:rsidR="002A4213" w:rsidRPr="006C59A4">
        <w:t xml:space="preserve"> 73 0802:2009 – PBS, Nevýrobní objekty</w:t>
      </w:r>
    </w:p>
    <w:p w:rsidR="002A4213" w:rsidRPr="006C59A4" w:rsidRDefault="00C833FC" w:rsidP="002A4213">
      <w:pPr>
        <w:jc w:val="both"/>
      </w:pPr>
      <w:r w:rsidRPr="006C59A4">
        <w:t>ČSN</w:t>
      </w:r>
      <w:r w:rsidR="00F2438F">
        <w:t xml:space="preserve"> 73 0810:2016</w:t>
      </w:r>
      <w:r w:rsidR="002A4213" w:rsidRPr="006C59A4">
        <w:t xml:space="preserve"> – PBS, Společná ustanovení</w:t>
      </w:r>
    </w:p>
    <w:p w:rsidR="00B26B17" w:rsidRDefault="00B26B17" w:rsidP="002A4213">
      <w:pPr>
        <w:jc w:val="both"/>
      </w:pPr>
      <w:r w:rsidRPr="006C59A4">
        <w:t>ČSN</w:t>
      </w:r>
      <w:r>
        <w:t xml:space="preserve"> 73 0821:2007 – PBS, Požární odolnost stavebních konstrukcí</w:t>
      </w:r>
    </w:p>
    <w:p w:rsidR="002A4213" w:rsidRPr="006C59A4" w:rsidRDefault="002A4213" w:rsidP="002A4213">
      <w:pPr>
        <w:jc w:val="both"/>
      </w:pPr>
      <w:r w:rsidRPr="006C59A4">
        <w:t>ČSN 73 0833:2010 – PBS, Budovy pro bydlení a ubytování</w:t>
      </w:r>
    </w:p>
    <w:p w:rsidR="00C833FC" w:rsidRPr="006C59A4" w:rsidRDefault="00C833FC" w:rsidP="002A4213">
      <w:pPr>
        <w:jc w:val="both"/>
      </w:pPr>
      <w:r w:rsidRPr="006C59A4">
        <w:t>ČSN 73 0834:2011 – PBS, Změny staveb</w:t>
      </w:r>
    </w:p>
    <w:p w:rsidR="00E3339C" w:rsidRPr="006C59A4" w:rsidRDefault="00E3339C" w:rsidP="002A4213">
      <w:pPr>
        <w:jc w:val="both"/>
      </w:pPr>
      <w:r w:rsidRPr="006C59A4">
        <w:t>ČSN 73 0873:2003 – PBS, Zásobování požární vodou</w:t>
      </w:r>
    </w:p>
    <w:p w:rsidR="002A4213" w:rsidRDefault="002A4213" w:rsidP="002A4213">
      <w:pPr>
        <w:ind w:firstLine="708"/>
        <w:jc w:val="both"/>
      </w:pPr>
      <w:r w:rsidRPr="006C59A4">
        <w:t>a norem souvisejících,</w:t>
      </w:r>
    </w:p>
    <w:p w:rsidR="003E7532" w:rsidRPr="006C59A4" w:rsidRDefault="003E7532" w:rsidP="002A4213">
      <w:pPr>
        <w:ind w:firstLine="708"/>
        <w:jc w:val="both"/>
      </w:pPr>
    </w:p>
    <w:p w:rsidR="002A4213" w:rsidRPr="006C59A4" w:rsidRDefault="002A4213" w:rsidP="002A4213">
      <w:pPr>
        <w:jc w:val="both"/>
      </w:pPr>
      <w:r w:rsidRPr="006C59A4">
        <w:t>a právních předpisů:</w:t>
      </w:r>
    </w:p>
    <w:p w:rsidR="002A4213" w:rsidRPr="006C59A4" w:rsidRDefault="002A4213" w:rsidP="002A4213">
      <w:pPr>
        <w:jc w:val="both"/>
      </w:pPr>
      <w:r w:rsidRPr="006C59A4">
        <w:t>vyhl. č. 246/2001 Sb., o požární prevenci, v platném znění</w:t>
      </w:r>
    </w:p>
    <w:p w:rsidR="002A4213" w:rsidRPr="006C59A4" w:rsidRDefault="002A4213" w:rsidP="002A4213">
      <w:pPr>
        <w:jc w:val="both"/>
      </w:pPr>
      <w:r w:rsidRPr="006C59A4">
        <w:t>vyhl. č. 23/2008 Sb., o technických podmínkách požární ochrany staveb, v platném znění</w:t>
      </w:r>
      <w:r w:rsidR="00511D2B" w:rsidRPr="006C59A4">
        <w:t>.</w:t>
      </w:r>
    </w:p>
    <w:p w:rsidR="003C6EAB" w:rsidRDefault="003C6EAB" w:rsidP="00642C69">
      <w:pPr>
        <w:jc w:val="both"/>
      </w:pPr>
    </w:p>
    <w:p w:rsidR="003C3885" w:rsidRDefault="003C3885" w:rsidP="00642C69">
      <w:pPr>
        <w:jc w:val="both"/>
      </w:pPr>
      <w:r>
        <w:t xml:space="preserve">Publikace „Hodnoty požární odolnosti stavebních konstrukcí podle </w:t>
      </w:r>
      <w:proofErr w:type="spellStart"/>
      <w:r>
        <w:t>Eurokódů</w:t>
      </w:r>
      <w:proofErr w:type="spellEnd"/>
      <w:r>
        <w:t>“, autor Roman Zoufal a kolektiv (*)</w:t>
      </w:r>
    </w:p>
    <w:p w:rsidR="00C72943" w:rsidRPr="006C59A4" w:rsidRDefault="00C72943" w:rsidP="00CA69CD">
      <w:pPr>
        <w:spacing w:after="120"/>
        <w:jc w:val="both"/>
      </w:pPr>
    </w:p>
    <w:p w:rsidR="005565A7" w:rsidRPr="006C59A4" w:rsidRDefault="000A5E01" w:rsidP="00A54219">
      <w:pPr>
        <w:numPr>
          <w:ilvl w:val="0"/>
          <w:numId w:val="3"/>
        </w:numPr>
        <w:jc w:val="both"/>
        <w:rPr>
          <w:b/>
          <w:sz w:val="28"/>
          <w:szCs w:val="28"/>
        </w:rPr>
      </w:pPr>
      <w:bookmarkStart w:id="0" w:name="OLE_LINK3"/>
      <w:r w:rsidRPr="006C59A4">
        <w:rPr>
          <w:b/>
          <w:sz w:val="28"/>
          <w:szCs w:val="28"/>
        </w:rPr>
        <w:t>Rozdělení do požárních úseků, SPB</w:t>
      </w:r>
    </w:p>
    <w:bookmarkEnd w:id="0"/>
    <w:p w:rsidR="00D81713" w:rsidRPr="006C59A4" w:rsidRDefault="00D81713" w:rsidP="00EE7B47">
      <w:pPr>
        <w:jc w:val="both"/>
        <w:rPr>
          <w:b/>
          <w:sz w:val="28"/>
          <w:szCs w:val="28"/>
        </w:rPr>
      </w:pPr>
    </w:p>
    <w:p w:rsidR="00760A14" w:rsidRPr="006C59A4" w:rsidRDefault="000A5E01" w:rsidP="00CA69CD">
      <w:pPr>
        <w:spacing w:after="120"/>
        <w:ind w:firstLine="708"/>
        <w:jc w:val="both"/>
      </w:pPr>
      <w:r w:rsidRPr="006C59A4">
        <w:t>V souladu s čl.</w:t>
      </w:r>
      <w:r w:rsidR="00760A14" w:rsidRPr="006C59A4">
        <w:t xml:space="preserve"> 3.5 ČSN 73 0833 bude objekt</w:t>
      </w:r>
      <w:r w:rsidR="00B06BD2">
        <w:t xml:space="preserve"> zařazen jako budova skupiny OB2 – bytové domy</w:t>
      </w:r>
      <w:r w:rsidR="00760A14" w:rsidRPr="006C59A4">
        <w:t xml:space="preserve">. </w:t>
      </w:r>
    </w:p>
    <w:p w:rsidR="001A5E7B" w:rsidRDefault="001A5E7B" w:rsidP="00CA69CD">
      <w:pPr>
        <w:spacing w:after="120"/>
        <w:ind w:firstLine="708"/>
        <w:jc w:val="both"/>
      </w:pPr>
    </w:p>
    <w:p w:rsidR="003A392E" w:rsidRDefault="003A392E" w:rsidP="00CA69CD">
      <w:pPr>
        <w:spacing w:after="120"/>
        <w:ind w:firstLine="708"/>
        <w:jc w:val="both"/>
      </w:pPr>
      <w:r>
        <w:t>Rozdělení do požárních úseků:</w:t>
      </w:r>
    </w:p>
    <w:p w:rsidR="00E12C05" w:rsidRDefault="00E12C05" w:rsidP="00CA69CD">
      <w:pPr>
        <w:spacing w:after="120"/>
        <w:ind w:firstLine="708"/>
        <w:jc w:val="both"/>
      </w:pPr>
    </w:p>
    <w:p w:rsidR="003A392E" w:rsidRDefault="003A392E" w:rsidP="00CA69CD">
      <w:pPr>
        <w:spacing w:after="120"/>
        <w:ind w:firstLine="708"/>
        <w:jc w:val="both"/>
      </w:pPr>
      <w:proofErr w:type="gramStart"/>
      <w:r>
        <w:t>1.PP</w:t>
      </w:r>
      <w:proofErr w:type="gramEnd"/>
      <w:r>
        <w:t>:</w:t>
      </w:r>
    </w:p>
    <w:p w:rsidR="003A392E" w:rsidRDefault="003A392E" w:rsidP="001A5E7B">
      <w:pPr>
        <w:spacing w:after="120"/>
        <w:jc w:val="both"/>
      </w:pPr>
      <w:r>
        <w:t xml:space="preserve">P 1.01 - Výměníková stanice, </w:t>
      </w:r>
      <w:proofErr w:type="spellStart"/>
      <w:r w:rsidR="00B9593A">
        <w:t>p</w:t>
      </w:r>
      <w:r w:rsidR="00B9593A">
        <w:rPr>
          <w:vertAlign w:val="subscript"/>
        </w:rPr>
        <w:t>v</w:t>
      </w:r>
      <w:proofErr w:type="spellEnd"/>
      <w:r w:rsidR="00B9593A">
        <w:t xml:space="preserve"> = 5,1 kg/m</w:t>
      </w:r>
      <w:r w:rsidR="00B9593A">
        <w:rPr>
          <w:vertAlign w:val="superscript"/>
        </w:rPr>
        <w:t>2</w:t>
      </w:r>
      <w:r w:rsidR="00273E2D">
        <w:rPr>
          <w:vertAlign w:val="superscript"/>
        </w:rPr>
        <w:t xml:space="preserve"> </w:t>
      </w:r>
      <w:r w:rsidR="00273E2D">
        <w:t>(výpočet Příloha A)</w:t>
      </w:r>
      <w:r w:rsidR="00B9593A">
        <w:t xml:space="preserve">, </w:t>
      </w:r>
      <w:proofErr w:type="gramStart"/>
      <w:r w:rsidR="00B9593A">
        <w:t>II.SPB</w:t>
      </w:r>
      <w:proofErr w:type="gramEnd"/>
      <w:r w:rsidR="00B9593A">
        <w:t>,</w:t>
      </w:r>
    </w:p>
    <w:p w:rsidR="00B9593A" w:rsidRDefault="00B9593A" w:rsidP="001A5E7B">
      <w:pPr>
        <w:spacing w:after="120"/>
        <w:jc w:val="both"/>
      </w:pPr>
      <w:r>
        <w:t xml:space="preserve">Ostatní neměněné </w:t>
      </w:r>
      <w:proofErr w:type="gramStart"/>
      <w:r>
        <w:t>prostory I.PP</w:t>
      </w:r>
      <w:proofErr w:type="gramEnd"/>
      <w:r>
        <w:t xml:space="preserve"> </w:t>
      </w:r>
      <w:r w:rsidR="001A5E7B">
        <w:t>budou uvažovány v III.SPB (dle čl. 5.1.5 ČSN 73 0834).</w:t>
      </w:r>
    </w:p>
    <w:p w:rsidR="001A5E7B" w:rsidRDefault="001A5E7B" w:rsidP="001A5E7B">
      <w:pPr>
        <w:spacing w:after="120"/>
        <w:jc w:val="both"/>
      </w:pPr>
    </w:p>
    <w:p w:rsidR="001A5E7B" w:rsidRDefault="001A5E7B" w:rsidP="001A5E7B">
      <w:pPr>
        <w:spacing w:after="120"/>
        <w:jc w:val="both"/>
      </w:pPr>
      <w:r>
        <w:tab/>
        <w:t>1.NP:</w:t>
      </w:r>
    </w:p>
    <w:p w:rsidR="001A5E7B" w:rsidRDefault="004B235A" w:rsidP="001A5E7B">
      <w:pPr>
        <w:spacing w:after="120"/>
        <w:jc w:val="both"/>
      </w:pPr>
      <w:r>
        <w:t xml:space="preserve">N 1.01/N5 – CHÚC A, </w:t>
      </w:r>
      <w:proofErr w:type="gramStart"/>
      <w:r>
        <w:t>II.SPB</w:t>
      </w:r>
      <w:proofErr w:type="gramEnd"/>
      <w:r w:rsidR="00273E2D">
        <w:t xml:space="preserve"> dle čl. 9.3.2 ČSN 73 0802,</w:t>
      </w:r>
    </w:p>
    <w:p w:rsidR="004B235A" w:rsidRDefault="008066B5" w:rsidP="001A5E7B">
      <w:pPr>
        <w:spacing w:after="120"/>
        <w:jc w:val="both"/>
      </w:pPr>
      <w:r>
        <w:t xml:space="preserve">N 1.02 – 1.04 – byty, </w:t>
      </w:r>
      <w:proofErr w:type="spellStart"/>
      <w:r>
        <w:t>p</w:t>
      </w:r>
      <w:r>
        <w:rPr>
          <w:vertAlign w:val="subscript"/>
        </w:rPr>
        <w:t>v</w:t>
      </w:r>
      <w:proofErr w:type="spellEnd"/>
      <w:r w:rsidR="00273E2D">
        <w:t xml:space="preserve"> = 40</w:t>
      </w:r>
      <w:r>
        <w:t xml:space="preserve"> kg/m</w:t>
      </w:r>
      <w:r>
        <w:rPr>
          <w:vertAlign w:val="superscript"/>
        </w:rPr>
        <w:t>2</w:t>
      </w:r>
      <w:r w:rsidR="00273E2D">
        <w:t xml:space="preserve"> dle čl. 5.1.2 ČSN 73 0802</w:t>
      </w:r>
      <w:r>
        <w:t xml:space="preserve">, </w:t>
      </w:r>
      <w:proofErr w:type="gramStart"/>
      <w:r>
        <w:t>III.SPB</w:t>
      </w:r>
      <w:proofErr w:type="gramEnd"/>
    </w:p>
    <w:p w:rsidR="008066B5" w:rsidRDefault="008066B5" w:rsidP="001A5E7B">
      <w:pPr>
        <w:spacing w:after="120"/>
        <w:jc w:val="both"/>
      </w:pPr>
      <w:r>
        <w:t xml:space="preserve">N  1.05 – úklid, </w:t>
      </w:r>
      <w:proofErr w:type="spellStart"/>
      <w:r>
        <w:t>p</w:t>
      </w:r>
      <w:r>
        <w:rPr>
          <w:vertAlign w:val="subscript"/>
        </w:rPr>
        <w:t>v</w:t>
      </w:r>
      <w:proofErr w:type="spellEnd"/>
      <w:r>
        <w:t xml:space="preserve"> = </w:t>
      </w:r>
      <w:r w:rsidR="00273E2D">
        <w:t>45</w:t>
      </w:r>
      <w:r>
        <w:t xml:space="preserve"> kg/m</w:t>
      </w:r>
      <w:r>
        <w:rPr>
          <w:vertAlign w:val="superscript"/>
        </w:rPr>
        <w:t>2</w:t>
      </w:r>
      <w:r w:rsidR="00273E2D">
        <w:rPr>
          <w:vertAlign w:val="superscript"/>
        </w:rPr>
        <w:t xml:space="preserve"> </w:t>
      </w:r>
      <w:r w:rsidR="00273E2D">
        <w:t>dle čl. 5.1.4 ČSN 73 0833</w:t>
      </w:r>
      <w:r>
        <w:t xml:space="preserve">, </w:t>
      </w:r>
      <w:proofErr w:type="gramStart"/>
      <w:r>
        <w:t>I</w:t>
      </w:r>
      <w:r w:rsidR="00273E2D">
        <w:t>I</w:t>
      </w:r>
      <w:r>
        <w:t>I.SPB</w:t>
      </w:r>
      <w:proofErr w:type="gramEnd"/>
    </w:p>
    <w:p w:rsidR="003106A4" w:rsidRDefault="003106A4" w:rsidP="001A5E7B">
      <w:pPr>
        <w:spacing w:after="120"/>
        <w:jc w:val="both"/>
      </w:pPr>
      <w:r>
        <w:t xml:space="preserve">N 1.06 – </w:t>
      </w:r>
      <w:r w:rsidR="00E37576">
        <w:t>server</w:t>
      </w:r>
      <w:r>
        <w:t xml:space="preserve">, </w:t>
      </w:r>
      <w:proofErr w:type="spellStart"/>
      <w:r>
        <w:t>p</w:t>
      </w:r>
      <w:r>
        <w:rPr>
          <w:vertAlign w:val="subscript"/>
        </w:rPr>
        <w:t>v</w:t>
      </w:r>
      <w:proofErr w:type="spellEnd"/>
      <w:r>
        <w:t xml:space="preserve"> = 45 kg/m</w:t>
      </w:r>
      <w:r>
        <w:rPr>
          <w:vertAlign w:val="superscript"/>
        </w:rPr>
        <w:t>2</w:t>
      </w:r>
      <w:r w:rsidR="00273E2D" w:rsidRPr="00273E2D">
        <w:t xml:space="preserve"> </w:t>
      </w:r>
      <w:r w:rsidR="00273E2D">
        <w:t>dle čl. 5.1.4 ČSN 73 0833</w:t>
      </w:r>
      <w:r>
        <w:t xml:space="preserve">, </w:t>
      </w:r>
      <w:proofErr w:type="gramStart"/>
      <w:r>
        <w:t>III.SPB</w:t>
      </w:r>
      <w:proofErr w:type="gramEnd"/>
    </w:p>
    <w:p w:rsidR="00E37576" w:rsidRDefault="00E37576" w:rsidP="00E37576">
      <w:pPr>
        <w:spacing w:after="120"/>
        <w:jc w:val="both"/>
      </w:pPr>
      <w:r>
        <w:t xml:space="preserve">N 1.07/N5 – evakuační výtah, </w:t>
      </w:r>
      <w:proofErr w:type="gramStart"/>
      <w:r>
        <w:t>II.SPB</w:t>
      </w:r>
      <w:proofErr w:type="gramEnd"/>
      <w:r>
        <w:t xml:space="preserve"> dle čl. 8.10.2 ČSN 73 0802,</w:t>
      </w:r>
    </w:p>
    <w:p w:rsidR="003106A4" w:rsidRDefault="003106A4" w:rsidP="001A5E7B">
      <w:pPr>
        <w:spacing w:after="120"/>
        <w:jc w:val="both"/>
      </w:pPr>
    </w:p>
    <w:p w:rsidR="003106A4" w:rsidRDefault="003106A4" w:rsidP="003106A4">
      <w:pPr>
        <w:spacing w:after="120"/>
        <w:ind w:firstLine="708"/>
        <w:jc w:val="both"/>
      </w:pPr>
      <w:r>
        <w:t xml:space="preserve">2 - </w:t>
      </w:r>
      <w:r w:rsidR="00273E2D">
        <w:t>5</w:t>
      </w:r>
      <w:r>
        <w:t>.NP:</w:t>
      </w:r>
    </w:p>
    <w:p w:rsidR="003106A4" w:rsidRDefault="003106A4" w:rsidP="003106A4">
      <w:pPr>
        <w:spacing w:after="120"/>
        <w:jc w:val="both"/>
      </w:pPr>
      <w:r>
        <w:t xml:space="preserve">N 1.01/N5 – CHÚC A, </w:t>
      </w:r>
      <w:proofErr w:type="gramStart"/>
      <w:r>
        <w:t>II.SPB</w:t>
      </w:r>
      <w:proofErr w:type="gramEnd"/>
    </w:p>
    <w:p w:rsidR="003106A4" w:rsidRDefault="003106A4" w:rsidP="003106A4">
      <w:pPr>
        <w:spacing w:after="120"/>
        <w:jc w:val="both"/>
      </w:pPr>
      <w:r>
        <w:t xml:space="preserve">N 2.01 </w:t>
      </w:r>
      <w:r w:rsidR="00273E2D">
        <w:t xml:space="preserve">(5.01) </w:t>
      </w:r>
      <w:r>
        <w:t>– 2.03</w:t>
      </w:r>
      <w:r w:rsidR="00273E2D">
        <w:t xml:space="preserve"> (5.03)</w:t>
      </w:r>
      <w:r>
        <w:t xml:space="preserve"> – byty, </w:t>
      </w:r>
      <w:proofErr w:type="spellStart"/>
      <w:r w:rsidR="00273E2D">
        <w:t>p</w:t>
      </w:r>
      <w:r w:rsidR="00273E2D">
        <w:rPr>
          <w:vertAlign w:val="subscript"/>
        </w:rPr>
        <w:t>v</w:t>
      </w:r>
      <w:proofErr w:type="spellEnd"/>
      <w:r w:rsidR="00273E2D">
        <w:t xml:space="preserve"> = 40 kg/m</w:t>
      </w:r>
      <w:r w:rsidR="00273E2D">
        <w:rPr>
          <w:vertAlign w:val="superscript"/>
        </w:rPr>
        <w:t>2</w:t>
      </w:r>
      <w:r w:rsidR="00273E2D">
        <w:t xml:space="preserve"> dle čl. 5.1.2 ČSN 73 0802, </w:t>
      </w:r>
      <w:proofErr w:type="gramStart"/>
      <w:r w:rsidR="00273E2D">
        <w:t>III.SPB</w:t>
      </w:r>
      <w:proofErr w:type="gramEnd"/>
    </w:p>
    <w:p w:rsidR="003106A4" w:rsidRDefault="003106A4" w:rsidP="003106A4">
      <w:pPr>
        <w:spacing w:after="120"/>
        <w:jc w:val="both"/>
      </w:pPr>
      <w:r>
        <w:t>N  2.04</w:t>
      </w:r>
      <w:r w:rsidR="00273E2D">
        <w:t xml:space="preserve"> (5.04)</w:t>
      </w:r>
      <w:r>
        <w:t>, 2.05</w:t>
      </w:r>
      <w:r w:rsidR="00273E2D">
        <w:t xml:space="preserve"> (5.05)</w:t>
      </w:r>
      <w:r>
        <w:t xml:space="preserve"> – sklepní kóje, </w:t>
      </w:r>
      <w:proofErr w:type="spellStart"/>
      <w:r>
        <w:t>p</w:t>
      </w:r>
      <w:r>
        <w:rPr>
          <w:vertAlign w:val="subscript"/>
        </w:rPr>
        <w:t>v</w:t>
      </w:r>
      <w:proofErr w:type="spellEnd"/>
      <w:r>
        <w:t xml:space="preserve"> = 45 kg/m</w:t>
      </w:r>
      <w:r>
        <w:rPr>
          <w:vertAlign w:val="superscript"/>
        </w:rPr>
        <w:t>2</w:t>
      </w:r>
      <w:r>
        <w:t xml:space="preserve">, </w:t>
      </w:r>
      <w:proofErr w:type="gramStart"/>
      <w:r>
        <w:t>III.SPB</w:t>
      </w:r>
      <w:proofErr w:type="gramEnd"/>
    </w:p>
    <w:p w:rsidR="003E7532" w:rsidRDefault="003E7532" w:rsidP="00642C69">
      <w:pPr>
        <w:ind w:firstLine="708"/>
        <w:jc w:val="both"/>
      </w:pPr>
    </w:p>
    <w:p w:rsidR="0066537E" w:rsidRDefault="00071522" w:rsidP="00642C69">
      <w:pPr>
        <w:ind w:firstLine="708"/>
        <w:jc w:val="both"/>
      </w:pPr>
      <w:r>
        <w:lastRenderedPageBreak/>
        <w:t>Instalační šachty budou požárně odděleny v úrovních podlahy a jednotlivé části šachet budou přičleněny k jednotlivým požárním úsekům bytů.</w:t>
      </w:r>
      <w:r w:rsidR="0066537E">
        <w:t xml:space="preserve"> </w:t>
      </w:r>
    </w:p>
    <w:p w:rsidR="0066537E" w:rsidRDefault="0066537E" w:rsidP="00642C69">
      <w:pPr>
        <w:ind w:firstLine="708"/>
        <w:jc w:val="both"/>
      </w:pPr>
      <w:r>
        <w:t>Šachta pro nasávací potrubí odvětrání výtahové šachty bude přičleněna k požárnímu úseku evakuačního výtahu a požárně oddělena od ostatních prostor.</w:t>
      </w:r>
    </w:p>
    <w:p w:rsidR="0066537E" w:rsidRDefault="0066537E" w:rsidP="00642C69">
      <w:pPr>
        <w:ind w:firstLine="708"/>
        <w:jc w:val="both"/>
      </w:pPr>
    </w:p>
    <w:p w:rsidR="00760A14" w:rsidRDefault="00071522" w:rsidP="00642C69">
      <w:pPr>
        <w:ind w:firstLine="708"/>
        <w:jc w:val="both"/>
      </w:pPr>
      <w:r>
        <w:t xml:space="preserve"> </w:t>
      </w:r>
    </w:p>
    <w:p w:rsidR="00692229" w:rsidRPr="00071522" w:rsidRDefault="00692229" w:rsidP="00A54219">
      <w:pPr>
        <w:numPr>
          <w:ilvl w:val="0"/>
          <w:numId w:val="3"/>
        </w:numPr>
        <w:jc w:val="both"/>
        <w:rPr>
          <w:b/>
          <w:sz w:val="28"/>
          <w:szCs w:val="28"/>
        </w:rPr>
      </w:pPr>
      <w:r w:rsidRPr="00071522">
        <w:rPr>
          <w:b/>
          <w:sz w:val="28"/>
          <w:szCs w:val="28"/>
        </w:rPr>
        <w:t>Posouzení stavebních konstrukcí</w:t>
      </w:r>
    </w:p>
    <w:p w:rsidR="00692229" w:rsidRPr="00071522" w:rsidRDefault="00692229" w:rsidP="00692229">
      <w:pPr>
        <w:jc w:val="both"/>
        <w:rPr>
          <w:b/>
          <w:sz w:val="28"/>
          <w:szCs w:val="28"/>
        </w:rPr>
      </w:pPr>
    </w:p>
    <w:p w:rsidR="00692229" w:rsidRPr="00071522" w:rsidRDefault="00692229" w:rsidP="00CA69CD">
      <w:pPr>
        <w:spacing w:after="120"/>
        <w:ind w:firstLine="709"/>
        <w:jc w:val="both"/>
      </w:pPr>
      <w:r w:rsidRPr="00071522">
        <w:t xml:space="preserve">Požární odolnost stavebních konstrukcí je posouzena podle </w:t>
      </w:r>
      <w:r w:rsidR="00071522">
        <w:t>Tab. 12 ČSN 73 0802 pro stanovené SPB, s úlevou pro</w:t>
      </w:r>
      <w:r w:rsidR="004C128F" w:rsidRPr="00071522">
        <w:t xml:space="preserve"> poslední nadzemní podlaží</w:t>
      </w:r>
      <w:r w:rsidRPr="00071522">
        <w:t>.</w:t>
      </w:r>
      <w:r w:rsidR="00FC7C7F">
        <w:t xml:space="preserve"> Požárně dělící konstrukce chráněné únikové cesty musí být druhu DP1 – vyhovuje.</w:t>
      </w:r>
    </w:p>
    <w:p w:rsidR="00692229" w:rsidRPr="00F2438F" w:rsidRDefault="00692229" w:rsidP="00F362EC">
      <w:pPr>
        <w:ind w:firstLine="708"/>
        <w:jc w:val="both"/>
        <w:rPr>
          <w:color w:val="FF0000"/>
        </w:rPr>
      </w:pPr>
    </w:p>
    <w:p w:rsidR="00692229" w:rsidRPr="00071522" w:rsidRDefault="004C128F" w:rsidP="00A54219">
      <w:pPr>
        <w:numPr>
          <w:ilvl w:val="0"/>
          <w:numId w:val="5"/>
        </w:numPr>
        <w:spacing w:after="120"/>
        <w:ind w:left="709" w:hanging="709"/>
        <w:jc w:val="both"/>
        <w:rPr>
          <w:b/>
        </w:rPr>
      </w:pPr>
      <w:r w:rsidRPr="00071522">
        <w:rPr>
          <w:b/>
        </w:rPr>
        <w:t>Požární stěny</w:t>
      </w:r>
    </w:p>
    <w:p w:rsidR="00893840" w:rsidRPr="00071522" w:rsidRDefault="004C128F" w:rsidP="00CA69CD">
      <w:pPr>
        <w:spacing w:after="120"/>
        <w:ind w:firstLine="708"/>
        <w:jc w:val="both"/>
      </w:pPr>
      <w:r w:rsidRPr="00071522">
        <w:t>Požadovaná požární odolno</w:t>
      </w:r>
      <w:r w:rsidR="00071522" w:rsidRPr="00071522">
        <w:t>st pro požární stěny je (R)EI 45 (poslední NP (R)EI 30</w:t>
      </w:r>
      <w:r w:rsidRPr="00071522">
        <w:t xml:space="preserve">. </w:t>
      </w:r>
      <w:r w:rsidR="0093260C" w:rsidRPr="00071522">
        <w:t xml:space="preserve">Požadovaná požární odolnost pro požární stěny mezi objekty je </w:t>
      </w:r>
      <w:r w:rsidR="00071522" w:rsidRPr="00071522">
        <w:t>REI 60</w:t>
      </w:r>
      <w:r w:rsidR="0093260C" w:rsidRPr="00071522">
        <w:t xml:space="preserve"> DP1.</w:t>
      </w:r>
    </w:p>
    <w:p w:rsidR="004C128F" w:rsidRPr="00210DC6" w:rsidRDefault="00893840" w:rsidP="00CA69CD">
      <w:pPr>
        <w:spacing w:after="120"/>
        <w:ind w:firstLine="708"/>
        <w:jc w:val="both"/>
      </w:pPr>
      <w:r w:rsidRPr="00210DC6">
        <w:t>Nové p</w:t>
      </w:r>
      <w:r w:rsidR="004C128F" w:rsidRPr="00210DC6">
        <w:t>ožární stěny jsou navrže</w:t>
      </w:r>
      <w:r w:rsidR="00C501E2" w:rsidRPr="00210DC6">
        <w:t xml:space="preserve">ny tvárnicemi YTONG </w:t>
      </w:r>
      <w:proofErr w:type="spellStart"/>
      <w:r w:rsidR="00C501E2" w:rsidRPr="00210DC6">
        <w:t>tl</w:t>
      </w:r>
      <w:proofErr w:type="spellEnd"/>
      <w:r w:rsidR="00C501E2" w:rsidRPr="00210DC6">
        <w:t>. 20</w:t>
      </w:r>
      <w:r w:rsidR="004C128F" w:rsidRPr="00210DC6">
        <w:t xml:space="preserve">0 mm </w:t>
      </w:r>
      <w:r w:rsidR="00C501E2" w:rsidRPr="00210DC6">
        <w:t xml:space="preserve">-  požární odolnost REI 180 DP1 dle kat. </w:t>
      </w:r>
      <w:proofErr w:type="gramStart"/>
      <w:r w:rsidR="00C501E2" w:rsidRPr="00210DC6">
        <w:t>listu</w:t>
      </w:r>
      <w:proofErr w:type="gramEnd"/>
      <w:r w:rsidR="00C501E2" w:rsidRPr="00210DC6">
        <w:t xml:space="preserve"> výrobce.</w:t>
      </w:r>
      <w:r w:rsidR="0066537E">
        <w:t xml:space="preserve"> Požární stěna oddělující šachtu pro nasávací potrubí odvětrání výtahové šachty je navržena zdivem YTONG </w:t>
      </w:r>
      <w:proofErr w:type="spellStart"/>
      <w:r w:rsidR="0066537E">
        <w:t>tl</w:t>
      </w:r>
      <w:proofErr w:type="spellEnd"/>
      <w:r w:rsidR="0066537E">
        <w:t>. 125 mm, skutečná požární odolnost je EI 180.</w:t>
      </w:r>
    </w:p>
    <w:p w:rsidR="00893840" w:rsidRPr="00071522" w:rsidRDefault="003C3885" w:rsidP="00CA69CD">
      <w:pPr>
        <w:spacing w:after="120"/>
        <w:ind w:firstLine="708"/>
        <w:jc w:val="both"/>
      </w:pPr>
      <w:r w:rsidRPr="00071522">
        <w:t>Stá</w:t>
      </w:r>
      <w:r w:rsidR="00893840" w:rsidRPr="00071522">
        <w:t xml:space="preserve">vající požární stěny jsou cihelné </w:t>
      </w:r>
      <w:proofErr w:type="spellStart"/>
      <w:r w:rsidR="00893840" w:rsidRPr="00071522">
        <w:t>tl</w:t>
      </w:r>
      <w:proofErr w:type="spellEnd"/>
      <w:r w:rsidR="00893840" w:rsidRPr="00071522">
        <w:t xml:space="preserve">. </w:t>
      </w:r>
      <w:proofErr w:type="gramStart"/>
      <w:r w:rsidRPr="00071522">
        <w:t>min.</w:t>
      </w:r>
      <w:proofErr w:type="gramEnd"/>
      <w:r w:rsidRPr="00071522">
        <w:t xml:space="preserve"> 30</w:t>
      </w:r>
      <w:r w:rsidR="00893840" w:rsidRPr="00071522">
        <w:t>0 mm – požární odolnost RE</w:t>
      </w:r>
      <w:r w:rsidRPr="00071522">
        <w:t>I 180</w:t>
      </w:r>
      <w:r w:rsidR="00893840" w:rsidRPr="00071522">
        <w:t xml:space="preserve"> DP1</w:t>
      </w:r>
      <w:r w:rsidRPr="00071522">
        <w:t xml:space="preserve"> dle Tab. 6.1.2</w:t>
      </w:r>
      <w:r w:rsidR="00023E17">
        <w:t xml:space="preserve"> (</w:t>
      </w:r>
      <w:r w:rsidRPr="00071522">
        <w:t>*</w:t>
      </w:r>
      <w:r w:rsidR="00023E17">
        <w:t>)</w:t>
      </w:r>
      <w:r w:rsidRPr="00071522">
        <w:t>.</w:t>
      </w:r>
    </w:p>
    <w:p w:rsidR="004C128F" w:rsidRPr="00F2438F" w:rsidRDefault="004C128F" w:rsidP="00F362EC">
      <w:pPr>
        <w:ind w:firstLine="708"/>
        <w:jc w:val="both"/>
        <w:rPr>
          <w:color w:val="FF0000"/>
        </w:rPr>
      </w:pPr>
    </w:p>
    <w:p w:rsidR="004C128F" w:rsidRPr="00210DC6" w:rsidRDefault="004C128F" w:rsidP="00A54219">
      <w:pPr>
        <w:numPr>
          <w:ilvl w:val="0"/>
          <w:numId w:val="5"/>
        </w:numPr>
        <w:spacing w:after="120"/>
        <w:ind w:left="709" w:hanging="709"/>
        <w:jc w:val="both"/>
        <w:rPr>
          <w:b/>
        </w:rPr>
      </w:pPr>
      <w:r w:rsidRPr="00210DC6">
        <w:rPr>
          <w:b/>
        </w:rPr>
        <w:t>Požární stropy</w:t>
      </w:r>
    </w:p>
    <w:p w:rsidR="00C3134A" w:rsidRDefault="004C128F" w:rsidP="00CA69CD">
      <w:pPr>
        <w:spacing w:after="120"/>
        <w:ind w:firstLine="708"/>
        <w:jc w:val="both"/>
      </w:pPr>
      <w:r w:rsidRPr="00210DC6">
        <w:t>Požadovaná požární odolnost</w:t>
      </w:r>
      <w:r w:rsidR="00210DC6" w:rsidRPr="00210DC6">
        <w:t xml:space="preserve"> pro požární stropy </w:t>
      </w:r>
      <w:r w:rsidR="000C210C">
        <w:t xml:space="preserve">nad byty </w:t>
      </w:r>
      <w:r w:rsidR="00210DC6" w:rsidRPr="00210DC6">
        <w:t>je REI 45</w:t>
      </w:r>
      <w:r w:rsidRPr="00210DC6">
        <w:t xml:space="preserve">. </w:t>
      </w:r>
      <w:r w:rsidR="00210DC6" w:rsidRPr="00210DC6">
        <w:t xml:space="preserve">Nové konstrukce stropů budou zespodu </w:t>
      </w:r>
      <w:proofErr w:type="spellStart"/>
      <w:r w:rsidR="00210DC6" w:rsidRPr="00210DC6">
        <w:t>opláštěny</w:t>
      </w:r>
      <w:proofErr w:type="spellEnd"/>
      <w:r w:rsidR="00210DC6" w:rsidRPr="00210DC6">
        <w:t xml:space="preserve"> SDK podhledy s požární odolností EI 45. Tyto protipožární úpravy budou doloženy potřebnými doklady v souladu s </w:t>
      </w:r>
      <w:proofErr w:type="spellStart"/>
      <w:r w:rsidR="00210DC6" w:rsidRPr="00210DC6">
        <w:t>vyhl</w:t>
      </w:r>
      <w:proofErr w:type="spellEnd"/>
      <w:r w:rsidR="00210DC6" w:rsidRPr="00210DC6">
        <w:t xml:space="preserve">. č. 246/2001 Sb., při závěrečné kontrolní prohlídce. </w:t>
      </w:r>
    </w:p>
    <w:p w:rsidR="00210DC6" w:rsidRDefault="00210DC6" w:rsidP="00CA69CD">
      <w:pPr>
        <w:spacing w:after="120"/>
        <w:ind w:firstLine="708"/>
        <w:jc w:val="both"/>
      </w:pPr>
      <w:r>
        <w:t xml:space="preserve">Stávající požární strop </w:t>
      </w:r>
      <w:proofErr w:type="gramStart"/>
      <w:r>
        <w:t>nad 1.PP</w:t>
      </w:r>
      <w:proofErr w:type="gramEnd"/>
      <w:r>
        <w:t xml:space="preserve"> – cihelná klenba – požární odolnost REI 90 DP1 dle čl. 5.5.7 ČSN 73 0834.</w:t>
      </w:r>
    </w:p>
    <w:p w:rsidR="000C210C" w:rsidRDefault="000C210C" w:rsidP="00CA69CD">
      <w:pPr>
        <w:spacing w:after="120"/>
        <w:ind w:firstLine="708"/>
        <w:jc w:val="both"/>
      </w:pPr>
      <w:r>
        <w:t xml:space="preserve">Požadovaná požární odolnost pro požární strop nad výtahovou šachtou a nad schodištěm CHÚC A (oba PÚ ve </w:t>
      </w:r>
      <w:proofErr w:type="gramStart"/>
      <w:r>
        <w:t>II.SPB</w:t>
      </w:r>
      <w:proofErr w:type="gramEnd"/>
      <w:r>
        <w:t xml:space="preserve">) – REI 30 DP1 – tyto stropy jsou navrženy stropními betonovými deskami PZD </w:t>
      </w:r>
      <w:proofErr w:type="spellStart"/>
      <w:r>
        <w:t>tl</w:t>
      </w:r>
      <w:proofErr w:type="spellEnd"/>
      <w:r>
        <w:t>. 90 mm – požární odolnost REI 45 DP1 dle prohlášení o vlastnostech výrobce.</w:t>
      </w:r>
    </w:p>
    <w:p w:rsidR="00023E17" w:rsidRPr="00210DC6" w:rsidRDefault="00023E17" w:rsidP="00CA69CD">
      <w:pPr>
        <w:spacing w:after="120"/>
        <w:ind w:firstLine="708"/>
        <w:jc w:val="both"/>
      </w:pPr>
      <w:r>
        <w:t xml:space="preserve">Instalační šachty budou v jednotlivých podlažích zastropeny </w:t>
      </w:r>
      <w:proofErr w:type="spellStart"/>
      <w:r>
        <w:t>žb</w:t>
      </w:r>
      <w:proofErr w:type="spellEnd"/>
      <w:r>
        <w:t xml:space="preserve"> deskou </w:t>
      </w:r>
      <w:proofErr w:type="spellStart"/>
      <w:r>
        <w:t>tl</w:t>
      </w:r>
      <w:proofErr w:type="spellEnd"/>
      <w:r>
        <w:t xml:space="preserve">. 75 mm s krytím výztuže 15 mm – skutečná požární odolnost REI 45 DP1 dle Tab. 2.6 (*). </w:t>
      </w:r>
    </w:p>
    <w:p w:rsidR="00DA1401" w:rsidRPr="00F2438F" w:rsidRDefault="00DA1401" w:rsidP="00F362EC">
      <w:pPr>
        <w:ind w:firstLine="708"/>
        <w:jc w:val="both"/>
        <w:rPr>
          <w:color w:val="FF0000"/>
        </w:rPr>
      </w:pPr>
    </w:p>
    <w:p w:rsidR="00EF1038" w:rsidRPr="007D41F8" w:rsidRDefault="00893840" w:rsidP="00A54219">
      <w:pPr>
        <w:numPr>
          <w:ilvl w:val="0"/>
          <w:numId w:val="5"/>
        </w:numPr>
        <w:spacing w:after="120"/>
        <w:ind w:left="709" w:hanging="709"/>
        <w:jc w:val="both"/>
        <w:rPr>
          <w:b/>
        </w:rPr>
      </w:pPr>
      <w:r w:rsidRPr="007D41F8">
        <w:rPr>
          <w:b/>
        </w:rPr>
        <w:t>Požární uzávěry</w:t>
      </w:r>
    </w:p>
    <w:p w:rsidR="0073746B" w:rsidRDefault="00893840" w:rsidP="00CA69CD">
      <w:pPr>
        <w:spacing w:after="120"/>
        <w:ind w:firstLine="708"/>
        <w:jc w:val="both"/>
      </w:pPr>
      <w:r w:rsidRPr="007D41F8">
        <w:t xml:space="preserve">Požadovaná požární odolnost je EI 30 DP3. </w:t>
      </w:r>
      <w:r w:rsidR="00B548F7" w:rsidRPr="007D41F8">
        <w:t>Pož</w:t>
      </w:r>
      <w:r w:rsidR="00FC7C7F">
        <w:t xml:space="preserve">ární uzávěry do obytných buněk a </w:t>
      </w:r>
      <w:r w:rsidR="00B548F7" w:rsidRPr="007D41F8">
        <w:t xml:space="preserve">předávací stanice tepla nemusí být osazeny </w:t>
      </w:r>
      <w:proofErr w:type="spellStart"/>
      <w:r w:rsidR="00B548F7" w:rsidRPr="007D41F8">
        <w:t>samozavíračem</w:t>
      </w:r>
      <w:proofErr w:type="spellEnd"/>
      <w:r w:rsidR="00B548F7" w:rsidRPr="007D41F8">
        <w:t>,</w:t>
      </w:r>
      <w:r w:rsidR="00FC7C7F">
        <w:t xml:space="preserve"> ostatní požární uzávěry</w:t>
      </w:r>
      <w:r w:rsidR="007D41F8" w:rsidRPr="007D41F8">
        <w:t xml:space="preserve"> budou osazeny </w:t>
      </w:r>
      <w:proofErr w:type="spellStart"/>
      <w:r w:rsidR="007D41F8" w:rsidRPr="007D41F8">
        <w:t>samozavírači</w:t>
      </w:r>
      <w:proofErr w:type="spellEnd"/>
      <w:r w:rsidR="00FC7C7F">
        <w:t xml:space="preserve"> (viz. </w:t>
      </w:r>
      <w:proofErr w:type="gramStart"/>
      <w:r w:rsidR="00FC7C7F">
        <w:t>výkresy</w:t>
      </w:r>
      <w:proofErr w:type="gramEnd"/>
      <w:r w:rsidR="00FC7C7F">
        <w:t>)</w:t>
      </w:r>
      <w:r w:rsidR="007D41F8" w:rsidRPr="007D41F8">
        <w:t>.</w:t>
      </w:r>
      <w:r w:rsidR="00B548F7" w:rsidRPr="007D41F8">
        <w:t xml:space="preserve"> </w:t>
      </w:r>
    </w:p>
    <w:p w:rsidR="00E12C05" w:rsidRDefault="00E12C05" w:rsidP="00CA69CD">
      <w:pPr>
        <w:spacing w:after="120"/>
        <w:ind w:firstLine="708"/>
        <w:jc w:val="both"/>
      </w:pPr>
      <w:r>
        <w:t xml:space="preserve">Požadavek na požární uzávěry evakuačního výtahu je EW 15 DP1, není požadována </w:t>
      </w:r>
      <w:proofErr w:type="spellStart"/>
      <w:r>
        <w:t>kouřotěsnost</w:t>
      </w:r>
      <w:proofErr w:type="spellEnd"/>
      <w:r>
        <w:t>.</w:t>
      </w:r>
    </w:p>
    <w:p w:rsidR="0066537E" w:rsidRPr="00210DC6" w:rsidRDefault="0066537E" w:rsidP="0066537E">
      <w:pPr>
        <w:spacing w:after="120"/>
        <w:ind w:firstLine="708"/>
        <w:jc w:val="both"/>
      </w:pPr>
      <w:r>
        <w:t>Revizní dvířka ve stěně oddělující šachtu pro nasávací potrubí odvětrání výtahové šachty budou s požární odolností min. EI 30.</w:t>
      </w:r>
    </w:p>
    <w:p w:rsidR="008C1805" w:rsidRPr="007D41F8" w:rsidRDefault="00893840" w:rsidP="00A54219">
      <w:pPr>
        <w:numPr>
          <w:ilvl w:val="0"/>
          <w:numId w:val="5"/>
        </w:numPr>
        <w:spacing w:after="120"/>
        <w:ind w:left="709" w:hanging="709"/>
        <w:jc w:val="both"/>
        <w:rPr>
          <w:b/>
        </w:rPr>
      </w:pPr>
      <w:r w:rsidRPr="007D41F8">
        <w:rPr>
          <w:b/>
        </w:rPr>
        <w:lastRenderedPageBreak/>
        <w:t>Obvodové stěny</w:t>
      </w:r>
    </w:p>
    <w:p w:rsidR="009F1995" w:rsidRPr="007D41F8" w:rsidRDefault="00893840" w:rsidP="00F362EC">
      <w:pPr>
        <w:ind w:firstLine="708"/>
        <w:jc w:val="both"/>
      </w:pPr>
      <w:r w:rsidRPr="007D41F8">
        <w:t>Požadov</w:t>
      </w:r>
      <w:r w:rsidR="007D41F8" w:rsidRPr="007D41F8">
        <w:t>aná požární odolnost je (R)EW 45 (poslední NP (R)EW 30)</w:t>
      </w:r>
      <w:r w:rsidRPr="007D41F8">
        <w:t>.</w:t>
      </w:r>
    </w:p>
    <w:p w:rsidR="003C3885" w:rsidRPr="007D41F8" w:rsidRDefault="003C3885" w:rsidP="003C3885">
      <w:pPr>
        <w:ind w:firstLine="708"/>
        <w:jc w:val="both"/>
      </w:pPr>
      <w:r w:rsidRPr="007D41F8">
        <w:t xml:space="preserve">Nové obvodové stěny jsou navrženy tvárnicemi </w:t>
      </w:r>
      <w:r w:rsidR="007D41F8" w:rsidRPr="007D41F8">
        <w:t xml:space="preserve">YTONG </w:t>
      </w:r>
      <w:proofErr w:type="spellStart"/>
      <w:r w:rsidR="007D41F8" w:rsidRPr="007D41F8">
        <w:t>tl</w:t>
      </w:r>
      <w:proofErr w:type="spellEnd"/>
      <w:r w:rsidR="007D41F8" w:rsidRPr="007D41F8">
        <w:t xml:space="preserve">. </w:t>
      </w:r>
      <w:proofErr w:type="gramStart"/>
      <w:r w:rsidR="007D41F8" w:rsidRPr="007D41F8">
        <w:t>min.</w:t>
      </w:r>
      <w:proofErr w:type="gramEnd"/>
      <w:r w:rsidR="007D41F8" w:rsidRPr="007D41F8">
        <w:t xml:space="preserve"> 4</w:t>
      </w:r>
      <w:r w:rsidRPr="007D41F8">
        <w:t>00 mm -  požární odolnost REI 180 DP1</w:t>
      </w:r>
      <w:r w:rsidR="007D41F8" w:rsidRPr="007D41F8">
        <w:t xml:space="preserve"> dle kat. listu výrobce</w:t>
      </w:r>
      <w:r w:rsidRPr="007D41F8">
        <w:t>.</w:t>
      </w:r>
    </w:p>
    <w:p w:rsidR="003C3885" w:rsidRPr="007D41F8" w:rsidRDefault="003C3885" w:rsidP="00CA69CD">
      <w:pPr>
        <w:spacing w:after="120"/>
        <w:ind w:firstLine="708"/>
        <w:jc w:val="both"/>
      </w:pPr>
      <w:r w:rsidRPr="007D41F8">
        <w:t>Stávající o</w:t>
      </w:r>
      <w:r w:rsidR="007D41F8" w:rsidRPr="007D41F8">
        <w:t xml:space="preserve">bvodové stěny jsou cihelné </w:t>
      </w:r>
      <w:proofErr w:type="spellStart"/>
      <w:r w:rsidR="007D41F8" w:rsidRPr="007D41F8">
        <w:t>tl</w:t>
      </w:r>
      <w:proofErr w:type="spellEnd"/>
      <w:r w:rsidR="007D41F8" w:rsidRPr="007D41F8">
        <w:t>. 4</w:t>
      </w:r>
      <w:r w:rsidRPr="007D41F8">
        <w:t>00 mm – požární odolnost REI 180 DP1 dle Tab. 6.1.2*.</w:t>
      </w:r>
    </w:p>
    <w:p w:rsidR="003C3885" w:rsidRPr="00F2438F" w:rsidRDefault="003C3885" w:rsidP="00F362EC">
      <w:pPr>
        <w:ind w:firstLine="708"/>
        <w:jc w:val="both"/>
        <w:rPr>
          <w:color w:val="FF0000"/>
        </w:rPr>
      </w:pPr>
    </w:p>
    <w:p w:rsidR="00716AC0" w:rsidRPr="007D41F8" w:rsidRDefault="003C3885" w:rsidP="00A54219">
      <w:pPr>
        <w:numPr>
          <w:ilvl w:val="0"/>
          <w:numId w:val="5"/>
        </w:numPr>
        <w:spacing w:after="120"/>
        <w:ind w:left="709" w:hanging="709"/>
        <w:jc w:val="both"/>
        <w:rPr>
          <w:b/>
        </w:rPr>
      </w:pPr>
      <w:r w:rsidRPr="007D41F8">
        <w:rPr>
          <w:b/>
        </w:rPr>
        <w:t>Nosné konstrukce střech</w:t>
      </w:r>
    </w:p>
    <w:p w:rsidR="007D41F8" w:rsidRPr="007D41F8" w:rsidRDefault="003C3885" w:rsidP="007D41F8">
      <w:pPr>
        <w:spacing w:after="120"/>
        <w:ind w:firstLine="708"/>
        <w:jc w:val="both"/>
      </w:pPr>
      <w:r w:rsidRPr="007D41F8">
        <w:t xml:space="preserve">Požární odolnost nosné konstrukce střechy </w:t>
      </w:r>
      <w:r w:rsidR="00B27E94" w:rsidRPr="007D41F8">
        <w:t>je R</w:t>
      </w:r>
      <w:r w:rsidR="007D41F8" w:rsidRPr="007D41F8">
        <w:t>E</w:t>
      </w:r>
      <w:r w:rsidR="00CD4480">
        <w:t>I</w:t>
      </w:r>
      <w:r w:rsidR="00B27E94" w:rsidRPr="007D41F8">
        <w:t xml:space="preserve"> 30, tato </w:t>
      </w:r>
      <w:r w:rsidRPr="007D41F8">
        <w:t xml:space="preserve">bude zajištěna SDK podhledem s požární odolností </w:t>
      </w:r>
      <w:r w:rsidR="004F2C16" w:rsidRPr="007D41F8">
        <w:t xml:space="preserve">min. </w:t>
      </w:r>
      <w:r w:rsidR="00CD4480">
        <w:t>EI</w:t>
      </w:r>
      <w:r w:rsidRPr="007D41F8">
        <w:t xml:space="preserve"> 30.</w:t>
      </w:r>
      <w:r w:rsidR="007D41F8" w:rsidRPr="007D41F8">
        <w:t xml:space="preserve"> Tyto protipožární úpravy budou doloženy potřebnými doklady v souladu s </w:t>
      </w:r>
      <w:proofErr w:type="spellStart"/>
      <w:r w:rsidR="007D41F8" w:rsidRPr="007D41F8">
        <w:t>vyhl</w:t>
      </w:r>
      <w:proofErr w:type="spellEnd"/>
      <w:r w:rsidR="007D41F8" w:rsidRPr="007D41F8">
        <w:t xml:space="preserve">. č. 246/2001 Sb., při závěrečné kontrolní prohlídce. </w:t>
      </w:r>
    </w:p>
    <w:p w:rsidR="00E12C05" w:rsidRPr="00930476" w:rsidRDefault="00E12C05" w:rsidP="00CA69CD">
      <w:pPr>
        <w:spacing w:after="120"/>
        <w:ind w:firstLine="708"/>
        <w:jc w:val="both"/>
      </w:pPr>
    </w:p>
    <w:p w:rsidR="00F526EA" w:rsidRPr="00930476" w:rsidRDefault="00F526EA" w:rsidP="00A54219">
      <w:pPr>
        <w:numPr>
          <w:ilvl w:val="0"/>
          <w:numId w:val="5"/>
        </w:numPr>
        <w:spacing w:after="120"/>
        <w:ind w:left="709" w:hanging="709"/>
        <w:jc w:val="both"/>
        <w:rPr>
          <w:b/>
        </w:rPr>
      </w:pPr>
      <w:r w:rsidRPr="00930476">
        <w:rPr>
          <w:b/>
        </w:rPr>
        <w:t>Střešní plášť</w:t>
      </w:r>
    </w:p>
    <w:p w:rsidR="00F526EA" w:rsidRDefault="00930476" w:rsidP="00CA69CD">
      <w:pPr>
        <w:spacing w:after="120"/>
        <w:ind w:firstLine="708"/>
        <w:jc w:val="both"/>
      </w:pPr>
      <w:r w:rsidRPr="00930476">
        <w:t xml:space="preserve">V souladu s čl. 8.15.1a) ČSN 73 0802 není stanoven požadavek na </w:t>
      </w:r>
      <w:r>
        <w:t xml:space="preserve">požární odolnost </w:t>
      </w:r>
      <w:r w:rsidRPr="00930476">
        <w:t>střešní</w:t>
      </w:r>
      <w:r>
        <w:t>ho</w:t>
      </w:r>
      <w:r w:rsidRPr="00930476">
        <w:t xml:space="preserve"> pláš</w:t>
      </w:r>
      <w:r>
        <w:t>tě</w:t>
      </w:r>
      <w:r w:rsidRPr="00930476">
        <w:t>.</w:t>
      </w:r>
      <w:r>
        <w:t xml:space="preserve"> V souladu s Pozn. k čl. 8.4 </w:t>
      </w:r>
      <w:r w:rsidR="00351CB4">
        <w:t xml:space="preserve">ČSN 73 0810 </w:t>
      </w:r>
      <w:r>
        <w:t xml:space="preserve">není stanoven ani požadavek na klasifikaci </w:t>
      </w:r>
      <w:proofErr w:type="spellStart"/>
      <w:r>
        <w:t>Broof</w:t>
      </w:r>
      <w:proofErr w:type="spellEnd"/>
      <w:r>
        <w:t xml:space="preserve">(t1) či </w:t>
      </w:r>
      <w:proofErr w:type="spellStart"/>
      <w:r>
        <w:t>Broof</w:t>
      </w:r>
      <w:proofErr w:type="spellEnd"/>
      <w:r>
        <w:t xml:space="preserve">(t3). </w:t>
      </w:r>
    </w:p>
    <w:p w:rsidR="00E12C05" w:rsidRPr="00930476" w:rsidRDefault="00E12C05" w:rsidP="00CA69CD">
      <w:pPr>
        <w:spacing w:after="120"/>
        <w:ind w:firstLine="708"/>
        <w:jc w:val="both"/>
      </w:pPr>
    </w:p>
    <w:p w:rsidR="00F526EA" w:rsidRPr="004B7196" w:rsidRDefault="00F526EA" w:rsidP="00A54219">
      <w:pPr>
        <w:numPr>
          <w:ilvl w:val="0"/>
          <w:numId w:val="5"/>
        </w:numPr>
        <w:spacing w:after="120"/>
        <w:ind w:left="709" w:hanging="709"/>
        <w:jc w:val="both"/>
        <w:rPr>
          <w:b/>
        </w:rPr>
      </w:pPr>
      <w:r w:rsidRPr="004B7196">
        <w:rPr>
          <w:b/>
        </w:rPr>
        <w:t>Zateplení obvodových stěn</w:t>
      </w:r>
    </w:p>
    <w:p w:rsidR="00F526EA" w:rsidRPr="004B7196" w:rsidRDefault="004B7196" w:rsidP="00CA69CD">
      <w:pPr>
        <w:spacing w:after="120"/>
        <w:ind w:firstLine="708"/>
        <w:jc w:val="both"/>
      </w:pPr>
      <w:r w:rsidRPr="004B7196">
        <w:t>Zateplení obvodových stěn bude provedeno tepelnou izolací třídy reakce na oheň A1 nebo A2, na toto zateplení nejsou kladeny žádné požadavky z hlediska požární bezpečnosti staveb.</w:t>
      </w:r>
    </w:p>
    <w:p w:rsidR="00F526EA" w:rsidRPr="00F2438F" w:rsidRDefault="00F526EA" w:rsidP="00F526EA">
      <w:pPr>
        <w:ind w:left="708"/>
        <w:jc w:val="both"/>
        <w:rPr>
          <w:color w:val="FF0000"/>
        </w:rPr>
      </w:pPr>
    </w:p>
    <w:p w:rsidR="004E5852" w:rsidRPr="008A599D" w:rsidRDefault="004E5852" w:rsidP="00A54219">
      <w:pPr>
        <w:numPr>
          <w:ilvl w:val="0"/>
          <w:numId w:val="5"/>
        </w:numPr>
        <w:spacing w:after="120"/>
        <w:ind w:left="709" w:hanging="709"/>
        <w:jc w:val="both"/>
        <w:rPr>
          <w:b/>
        </w:rPr>
      </w:pPr>
      <w:bookmarkStart w:id="1" w:name="OLE_LINK4"/>
      <w:r w:rsidRPr="008A599D">
        <w:rPr>
          <w:b/>
        </w:rPr>
        <w:t>Prostupy rozvodů požárně dělícími konstrukcemi</w:t>
      </w:r>
    </w:p>
    <w:bookmarkEnd w:id="1"/>
    <w:p w:rsidR="004E5852" w:rsidRPr="00F2438F" w:rsidRDefault="004E5852" w:rsidP="004E5852">
      <w:pPr>
        <w:jc w:val="both"/>
        <w:rPr>
          <w:b/>
          <w:color w:val="FF0000"/>
          <w:sz w:val="28"/>
        </w:rPr>
      </w:pPr>
    </w:p>
    <w:p w:rsidR="00D6543D" w:rsidRPr="00B04C14" w:rsidRDefault="004E5852" w:rsidP="00D6543D">
      <w:pPr>
        <w:jc w:val="both"/>
      </w:pPr>
      <w:r w:rsidRPr="00F2438F">
        <w:rPr>
          <w:color w:val="FF0000"/>
        </w:rPr>
        <w:tab/>
      </w:r>
      <w:r w:rsidR="00D6543D" w:rsidRPr="00B04C14">
        <w:t>Prostupy rozvodů musí být realizovány v souladu s čl. 11.1 ČSN 73 0802:2009 a 6.2 ČSN 73 0810:2016.</w:t>
      </w:r>
      <w:r w:rsidR="00D6543D">
        <w:t xml:space="preserve"> </w:t>
      </w:r>
    </w:p>
    <w:p w:rsidR="00D6543D" w:rsidRPr="00B04C14" w:rsidRDefault="00D6543D" w:rsidP="00D6543D">
      <w:pPr>
        <w:jc w:val="both"/>
      </w:pPr>
      <w:r w:rsidRPr="00B04C14">
        <w:tab/>
        <w:t>Potrubní rozvody k rozvodu nehořlavých látek mohou prostupovat požárně dělícími konstrukcemi bez dalších opatření, pokud mají průřez menší než 40 000 mm</w:t>
      </w:r>
      <w:r w:rsidRPr="00B04C14">
        <w:rPr>
          <w:vertAlign w:val="superscript"/>
        </w:rPr>
        <w:t>2</w:t>
      </w:r>
      <w:r w:rsidRPr="00B04C14">
        <w:t>. Je – li tento průřez větší, musí být potrubí z výrobků třídy reakce na oheň A1 až A2 a jeho případná izolace je alespoň do vzdálenosti 1000 mm od obou líců požárně dělící konstrukce také nehořlavých stavebních výrobků.</w:t>
      </w:r>
    </w:p>
    <w:p w:rsidR="00D6543D" w:rsidRPr="00B04C14" w:rsidRDefault="00D6543D" w:rsidP="00D6543D">
      <w:pPr>
        <w:jc w:val="both"/>
      </w:pPr>
    </w:p>
    <w:p w:rsidR="00D6543D" w:rsidRPr="00814A0F" w:rsidRDefault="00D6543D" w:rsidP="00D6543D">
      <w:pPr>
        <w:ind w:firstLine="708"/>
        <w:jc w:val="both"/>
      </w:pPr>
      <w:r w:rsidRPr="00B04C14">
        <w:t xml:space="preserve">V souladu s čl. 6.2.1 ČSN 73 0810 se těsnění prostupů provádí dotěsněním hmotami třídy </w:t>
      </w:r>
      <w:r w:rsidRPr="00814A0F">
        <w:t>reakce na oheň A1 nebo A2 v celé tloušťce konstrukce se stejnou požární odolností jakou má požárně dělící konstrukce, kterou prostupy procházejí, a to pokud se nejedná o prostupy konstrukcemi okolo chráněných únikových cest nebo okolo požárních nebo evakuačních výtahů, a to v následujících případech:</w:t>
      </w:r>
    </w:p>
    <w:p w:rsidR="00D6543D" w:rsidRPr="00821A8C" w:rsidRDefault="00D6543D" w:rsidP="00D6543D">
      <w:pPr>
        <w:ind w:firstLine="708"/>
        <w:jc w:val="both"/>
      </w:pPr>
    </w:p>
    <w:p w:rsidR="00D6543D" w:rsidRDefault="00D6543D" w:rsidP="00D6543D">
      <w:pPr>
        <w:pStyle w:val="Odstavecseseznamem"/>
        <w:numPr>
          <w:ilvl w:val="0"/>
          <w:numId w:val="13"/>
        </w:numPr>
        <w:jc w:val="both"/>
      </w:pPr>
      <w:r w:rsidRPr="00821A8C">
        <w:t>Jedná se o prostup zděnou nebo betonovou konstrukcí (stěna, strop) a jedná se max. o 3 potrubí s trvalou náplní vodou nebo jinou nehořlavou kapalinou. Potrubí musí být třídy reakce na oheň A1 nebo A2 nebo musí být vnější prům</w:t>
      </w:r>
      <w:r>
        <w:t>ě</w:t>
      </w:r>
      <w:r w:rsidRPr="00821A8C">
        <w:t>r potrubí max. 30 mm. případné izolace těchto potrubí v místě prostupů musí být nehořlavé (A1, A2) a to s přesahem min. 500 mm na obě strany konstrukce,</w:t>
      </w:r>
    </w:p>
    <w:p w:rsidR="00D6543D" w:rsidRPr="00821A8C" w:rsidRDefault="00D6543D" w:rsidP="00D6543D">
      <w:pPr>
        <w:pStyle w:val="Odstavecseseznamem"/>
        <w:numPr>
          <w:ilvl w:val="0"/>
          <w:numId w:val="13"/>
        </w:numPr>
        <w:jc w:val="both"/>
      </w:pPr>
      <w:r w:rsidRPr="00821A8C">
        <w:t xml:space="preserve">Jedná se o jednotlivý prostup jednoho kabelu elektroinstalace s vnějším průměrem kabelu do 20 mm. Takový prostup může být také v SDK nebo sendvičové </w:t>
      </w:r>
      <w:r w:rsidRPr="00821A8C">
        <w:lastRenderedPageBreak/>
        <w:t>konstrukci. Tato konstrukce musí být dotažena až k povrchu kabelu shodnou skladbou.</w:t>
      </w:r>
    </w:p>
    <w:p w:rsidR="00D6543D" w:rsidRPr="00821A8C" w:rsidRDefault="00D6543D" w:rsidP="00D6543D">
      <w:pPr>
        <w:ind w:left="708"/>
        <w:jc w:val="both"/>
      </w:pPr>
    </w:p>
    <w:p w:rsidR="00D6543D" w:rsidRPr="00821A8C" w:rsidRDefault="00D6543D" w:rsidP="00D6543D">
      <w:pPr>
        <w:ind w:left="708"/>
        <w:jc w:val="both"/>
      </w:pPr>
      <w:r w:rsidRPr="00821A8C">
        <w:t>Podle výše uvedených pravidel se samostatně posuzují prostupy, mezi nimiž je vzdálenost alespoň 500 mm.</w:t>
      </w:r>
    </w:p>
    <w:p w:rsidR="00D6543D" w:rsidRPr="00821A8C" w:rsidRDefault="00D6543D" w:rsidP="00D6543D">
      <w:pPr>
        <w:ind w:left="708"/>
        <w:jc w:val="both"/>
      </w:pPr>
    </w:p>
    <w:p w:rsidR="00D6543D" w:rsidRPr="00B06A3F" w:rsidRDefault="00D6543D" w:rsidP="00D6543D">
      <w:pPr>
        <w:ind w:firstLine="709"/>
        <w:jc w:val="both"/>
      </w:pPr>
      <w:r w:rsidRPr="00B06A3F">
        <w:t>V ostatních případech se těsnění prostupů provádí realizací požárně bezpečnostního zařízení – požární ucpávky, a to s kritérii EI v požárně dělících konstrukcích EI nebo REI a s kritérii E v požárně dělících konstrukcích EW nebo REW a to se stejnou požární odolností jakou má požárně dělící konstrukce, kterou prostupy procházejí.</w:t>
      </w:r>
    </w:p>
    <w:p w:rsidR="00862B67" w:rsidRDefault="00862B67" w:rsidP="00D6543D">
      <w:pPr>
        <w:jc w:val="both"/>
      </w:pPr>
    </w:p>
    <w:p w:rsidR="00862B67" w:rsidRPr="00F526EA" w:rsidRDefault="00862B67" w:rsidP="00F526EA">
      <w:pPr>
        <w:ind w:left="708"/>
        <w:jc w:val="both"/>
      </w:pPr>
    </w:p>
    <w:p w:rsidR="00332E1F" w:rsidRPr="000B5286" w:rsidRDefault="00332E1F" w:rsidP="00A54219">
      <w:pPr>
        <w:numPr>
          <w:ilvl w:val="0"/>
          <w:numId w:val="3"/>
        </w:numPr>
        <w:jc w:val="both"/>
        <w:rPr>
          <w:b/>
          <w:sz w:val="28"/>
          <w:szCs w:val="28"/>
        </w:rPr>
      </w:pPr>
      <w:r w:rsidRPr="000B5286">
        <w:rPr>
          <w:b/>
          <w:sz w:val="28"/>
          <w:szCs w:val="28"/>
        </w:rPr>
        <w:t>Posouzení únikových cest</w:t>
      </w:r>
    </w:p>
    <w:p w:rsidR="00332E1F" w:rsidRPr="000B5286" w:rsidRDefault="00332E1F" w:rsidP="00332E1F">
      <w:pPr>
        <w:ind w:left="708"/>
        <w:jc w:val="both"/>
        <w:rPr>
          <w:b/>
        </w:rPr>
      </w:pPr>
    </w:p>
    <w:p w:rsidR="00EA0342" w:rsidRDefault="00EA0342" w:rsidP="00EA0342">
      <w:pPr>
        <w:ind w:left="1428"/>
        <w:jc w:val="both"/>
        <w:rPr>
          <w:b/>
        </w:rPr>
      </w:pPr>
    </w:p>
    <w:p w:rsidR="003A2B42" w:rsidRDefault="003A2B42" w:rsidP="003A2B42">
      <w:pPr>
        <w:numPr>
          <w:ilvl w:val="0"/>
          <w:numId w:val="6"/>
        </w:numPr>
        <w:spacing w:after="120"/>
        <w:ind w:left="993" w:hanging="993"/>
        <w:jc w:val="both"/>
        <w:rPr>
          <w:b/>
        </w:rPr>
      </w:pPr>
      <w:r>
        <w:rPr>
          <w:b/>
        </w:rPr>
        <w:t>Chráněná úniková cesta</w:t>
      </w:r>
    </w:p>
    <w:p w:rsidR="00920463" w:rsidRDefault="00EA0342" w:rsidP="00CA69CD">
      <w:pPr>
        <w:spacing w:after="120"/>
        <w:ind w:firstLine="708"/>
        <w:jc w:val="both"/>
      </w:pPr>
      <w:r>
        <w:t>Únik</w:t>
      </w:r>
      <w:r w:rsidR="00CC25CA">
        <w:t xml:space="preserve"> osob z</w:t>
      </w:r>
      <w:r w:rsidR="00F2438F">
        <w:t xml:space="preserve"> objektu je navržen chráněnou únikovou cestou typu </w:t>
      </w:r>
      <w:r w:rsidR="00F32DCF">
        <w:t>A</w:t>
      </w:r>
      <w:r w:rsidR="00F2438F">
        <w:t>, tato musí být navržena zároveň jako vnitřní zásahová cesta</w:t>
      </w:r>
      <w:r w:rsidR="00920463">
        <w:t>, ne</w:t>
      </w:r>
      <w:r w:rsidR="00F32DCF">
        <w:t>boť objekt nemá nástupní plochu (dle čl. 5.10.3 ČSN 73 0834 může vnitřní zásahovou cestu tvořit také CHÚC A).</w:t>
      </w:r>
    </w:p>
    <w:p w:rsidR="00F32DCF" w:rsidRPr="00C80972" w:rsidRDefault="00F32DCF" w:rsidP="00CA69CD">
      <w:pPr>
        <w:spacing w:after="120"/>
        <w:ind w:firstLine="708"/>
        <w:jc w:val="both"/>
      </w:pPr>
      <w:r>
        <w:t>CHÚC A je větrána přirozeně. Při jednostranném větrání CHÚC A je dostačující otevíratelná plocha 1,5 m</w:t>
      </w:r>
      <w:r>
        <w:rPr>
          <w:vertAlign w:val="superscript"/>
        </w:rPr>
        <w:t>2</w:t>
      </w:r>
      <w:r>
        <w:t xml:space="preserve"> v každém </w:t>
      </w:r>
      <w:r w:rsidR="00C80972">
        <w:t>podlaží (1. NP – k odvětrání lze využít okno s otevíratelnou</w:t>
      </w:r>
      <w:r w:rsidR="00A51456">
        <w:t xml:space="preserve"> plochou 1,7</w:t>
      </w:r>
      <w:r w:rsidR="00C80972">
        <w:t xml:space="preserve"> m</w:t>
      </w:r>
      <w:r w:rsidR="00C80972">
        <w:rPr>
          <w:vertAlign w:val="superscript"/>
        </w:rPr>
        <w:t>2</w:t>
      </w:r>
      <w:r w:rsidR="00351CB4">
        <w:t xml:space="preserve"> </w:t>
      </w:r>
      <w:r w:rsidR="00A51456">
        <w:t xml:space="preserve">(0,88 x 1,94 m) </w:t>
      </w:r>
      <w:r w:rsidR="00351CB4">
        <w:t xml:space="preserve">– chodba </w:t>
      </w:r>
      <w:proofErr w:type="gramStart"/>
      <w:r w:rsidR="00A51456">
        <w:t>m.č.</w:t>
      </w:r>
      <w:proofErr w:type="gramEnd"/>
      <w:r w:rsidR="00A51456">
        <w:t xml:space="preserve"> 104a, 2.-4.NP – okno – 0,88</w:t>
      </w:r>
      <w:r w:rsidR="00351CB4">
        <w:t xml:space="preserve"> x 1,94</w:t>
      </w:r>
      <w:r w:rsidR="00A51456">
        <w:t xml:space="preserve"> m, plocha 1,7</w:t>
      </w:r>
      <w:r w:rsidR="00C80972">
        <w:t xml:space="preserve"> m</w:t>
      </w:r>
      <w:r w:rsidR="00C80972">
        <w:rPr>
          <w:vertAlign w:val="superscript"/>
        </w:rPr>
        <w:t>2</w:t>
      </w:r>
      <w:r w:rsidR="00351CB4">
        <w:t>, 5.NP – okno 1,08 x 1,45 m + okno 0,88 x 1,45 m.</w:t>
      </w:r>
    </w:p>
    <w:p w:rsidR="00CC25CA" w:rsidRDefault="00920463" w:rsidP="00CA69CD">
      <w:pPr>
        <w:spacing w:after="120"/>
        <w:ind w:firstLine="708"/>
        <w:jc w:val="both"/>
      </w:pPr>
      <w:r>
        <w:t xml:space="preserve"> </w:t>
      </w:r>
      <w:r w:rsidR="003A2B42">
        <w:t xml:space="preserve">Počet unikajících osob E = 72 osob (uvažovány 2 osoby na jednopokojový byt – 12 osob, 4 osoby na dvoupokojový a třípokojový byt – 36 osob, tedy (12 + 36) x 1,5 = 72 osob). </w:t>
      </w:r>
      <w:r w:rsidR="00C80972">
        <w:t xml:space="preserve">Mezní délka CHÚC A je 120 m, max. skutečná délka je </w:t>
      </w:r>
      <w:r w:rsidR="003A2B42">
        <w:t>cca 60 m – délka CHÚC A vyhovuje.</w:t>
      </w:r>
    </w:p>
    <w:p w:rsidR="00920463" w:rsidRDefault="003A2B42" w:rsidP="00CA69CD">
      <w:pPr>
        <w:spacing w:after="120"/>
        <w:ind w:firstLine="708"/>
        <w:jc w:val="both"/>
      </w:pPr>
      <w:r>
        <w:t>Mezní šířka je 1 únikový pruh (E = 72, K = 120, s = 1,5). Skutečnost šířka schodiště je 1,3 m (2 ÚP), šířka východových dveří je 0,9 m (1,5 ÚP)</w:t>
      </w:r>
      <w:r w:rsidR="005E256A">
        <w:t>. Mezní šířka vyhovuje.</w:t>
      </w:r>
    </w:p>
    <w:p w:rsidR="005E256A" w:rsidRPr="00920463" w:rsidRDefault="005E256A" w:rsidP="00CA69CD">
      <w:pPr>
        <w:spacing w:after="120"/>
        <w:ind w:firstLine="708"/>
        <w:jc w:val="both"/>
        <w:rPr>
          <w:color w:val="FF0000"/>
        </w:rPr>
      </w:pPr>
      <w:r>
        <w:t>CHÚC A bude vybavena nouzovým osvětlením funkčním po dobu min. 60 min (vnitřní zásahová cesta).</w:t>
      </w:r>
    </w:p>
    <w:p w:rsidR="004B2FC9" w:rsidRDefault="004B2FC9" w:rsidP="004B2FC9">
      <w:pPr>
        <w:jc w:val="both"/>
      </w:pPr>
    </w:p>
    <w:p w:rsidR="00EA0342" w:rsidRDefault="004B2FC9" w:rsidP="00CA69CD">
      <w:pPr>
        <w:numPr>
          <w:ilvl w:val="0"/>
          <w:numId w:val="6"/>
        </w:numPr>
        <w:spacing w:after="120"/>
        <w:ind w:left="993" w:hanging="993"/>
        <w:jc w:val="both"/>
        <w:rPr>
          <w:b/>
        </w:rPr>
      </w:pPr>
      <w:r>
        <w:rPr>
          <w:b/>
        </w:rPr>
        <w:t>Únikové cesty bytové jednotky</w:t>
      </w:r>
    </w:p>
    <w:p w:rsidR="004B2FC9" w:rsidRDefault="004B2FC9" w:rsidP="004B2FC9">
      <w:pPr>
        <w:jc w:val="both"/>
        <w:rPr>
          <w:b/>
        </w:rPr>
      </w:pPr>
    </w:p>
    <w:p w:rsidR="004F5608" w:rsidRDefault="00563513" w:rsidP="00CA69CD">
      <w:pPr>
        <w:spacing w:after="120"/>
        <w:ind w:firstLine="708"/>
        <w:jc w:val="both"/>
      </w:pPr>
      <w:r>
        <w:t>Únik osob z</w:t>
      </w:r>
      <w:r w:rsidR="004F5608">
        <w:t xml:space="preserve"> nových </w:t>
      </w:r>
      <w:r>
        <w:t xml:space="preserve">bytových jednotek </w:t>
      </w:r>
      <w:r w:rsidR="004F5608">
        <w:t>je řešen podle čl. 5.3 ČSN 73 0833.</w:t>
      </w:r>
    </w:p>
    <w:p w:rsidR="004F5608" w:rsidRPr="00AB0EF1" w:rsidRDefault="00563513" w:rsidP="00CA69CD">
      <w:pPr>
        <w:spacing w:after="120"/>
        <w:ind w:firstLine="708"/>
        <w:jc w:val="both"/>
      </w:pPr>
      <w:r>
        <w:t xml:space="preserve">Délka NÚC uvnitř bytových jednotek nebude </w:t>
      </w:r>
      <w:r w:rsidR="004F5608">
        <w:t xml:space="preserve">v souladu s čl. 5.3.3.1 </w:t>
      </w:r>
      <w:r>
        <w:t>stanovena</w:t>
      </w:r>
      <w:r w:rsidR="004F5608">
        <w:t xml:space="preserve">, neboť </w:t>
      </w:r>
      <w:r w:rsidR="004F5608" w:rsidRPr="00AB0EF1">
        <w:t>plochy bytových jednotek jsou menší než 250 m</w:t>
      </w:r>
      <w:r w:rsidR="004F5608" w:rsidRPr="00AB0EF1">
        <w:rPr>
          <w:vertAlign w:val="superscript"/>
        </w:rPr>
        <w:t>2</w:t>
      </w:r>
      <w:r w:rsidR="004F5608" w:rsidRPr="00AB0EF1">
        <w:t>.</w:t>
      </w:r>
    </w:p>
    <w:p w:rsidR="00563513" w:rsidRPr="00AB0EF1" w:rsidRDefault="004F5608" w:rsidP="00CA69CD">
      <w:pPr>
        <w:spacing w:after="120"/>
        <w:ind w:firstLine="708"/>
        <w:jc w:val="both"/>
      </w:pPr>
      <w:r w:rsidRPr="00AB0EF1">
        <w:t xml:space="preserve"> Šířka NÚC bude v souladu s čl. 5.3.6 stanovena podle ČSN 73 0802. </w:t>
      </w:r>
      <w:r w:rsidR="00563513" w:rsidRPr="00AB0EF1">
        <w:t xml:space="preserve">Šířka únikové cesty dle 9.11.3 ČSN 73 0802 je jeden únikový pruh, min. šířka navržených dveří je 800 mm </w:t>
      </w:r>
      <w:r w:rsidR="00563513" w:rsidRPr="00AB0EF1">
        <w:rPr>
          <w:b/>
        </w:rPr>
        <w:t>– vyhovuje.</w:t>
      </w:r>
      <w:r w:rsidR="00563513" w:rsidRPr="00AB0EF1">
        <w:t xml:space="preserve"> </w:t>
      </w:r>
    </w:p>
    <w:p w:rsidR="005E256A" w:rsidRDefault="005E256A" w:rsidP="00CA69CD">
      <w:pPr>
        <w:spacing w:after="120"/>
        <w:ind w:firstLine="708"/>
        <w:jc w:val="both"/>
      </w:pPr>
    </w:p>
    <w:p w:rsidR="005E256A" w:rsidRDefault="005E256A" w:rsidP="005E256A">
      <w:pPr>
        <w:numPr>
          <w:ilvl w:val="0"/>
          <w:numId w:val="6"/>
        </w:numPr>
        <w:spacing w:after="120"/>
        <w:ind w:left="993" w:hanging="993"/>
        <w:jc w:val="both"/>
        <w:rPr>
          <w:b/>
        </w:rPr>
      </w:pPr>
      <w:r>
        <w:rPr>
          <w:b/>
        </w:rPr>
        <w:t>Dveře na únikových cestách</w:t>
      </w:r>
    </w:p>
    <w:p w:rsidR="005E256A" w:rsidRDefault="005E256A" w:rsidP="00CA69CD">
      <w:pPr>
        <w:spacing w:after="120"/>
        <w:ind w:firstLine="708"/>
        <w:jc w:val="both"/>
      </w:pPr>
    </w:p>
    <w:p w:rsidR="004F5608" w:rsidRPr="00AB0EF1" w:rsidRDefault="004F5608" w:rsidP="00CA69CD">
      <w:pPr>
        <w:spacing w:after="120"/>
        <w:ind w:firstLine="708"/>
        <w:jc w:val="both"/>
      </w:pPr>
      <w:r w:rsidRPr="00AB0EF1">
        <w:t xml:space="preserve">V souladu s čl. 5.3.7 nemusí být vstupní dveře do bytových jednotek opatřeny </w:t>
      </w:r>
      <w:proofErr w:type="spellStart"/>
      <w:r w:rsidRPr="00AB0EF1">
        <w:t>samozavíračem</w:t>
      </w:r>
      <w:proofErr w:type="spellEnd"/>
      <w:r w:rsidRPr="00AB0EF1">
        <w:t xml:space="preserve">. </w:t>
      </w:r>
    </w:p>
    <w:p w:rsidR="00C20D7A" w:rsidRPr="00AB0EF1" w:rsidRDefault="00C20D7A" w:rsidP="00CA69CD">
      <w:pPr>
        <w:spacing w:after="120"/>
        <w:ind w:firstLine="708"/>
        <w:jc w:val="both"/>
      </w:pPr>
      <w:r w:rsidRPr="00AB0EF1">
        <w:lastRenderedPageBreak/>
        <w:t xml:space="preserve">V souladu s čl. 5.3.9 musí být dveře jednotlivých místností uvnitř bytu opatřeny kováním, které umožňuje v případě nouze otevřít z druhé strany dveře zevnitř zajištěné, a to bez speciálního nářadí.  </w:t>
      </w:r>
    </w:p>
    <w:p w:rsidR="00BF7152" w:rsidRPr="00AB0EF1" w:rsidRDefault="00563513" w:rsidP="00CA69CD">
      <w:pPr>
        <w:spacing w:after="120"/>
        <w:ind w:firstLine="708"/>
        <w:jc w:val="both"/>
      </w:pPr>
      <w:r w:rsidRPr="00AB0EF1">
        <w:t>V souladu s čl. 9.13.2</w:t>
      </w:r>
      <w:r w:rsidR="00C20D7A" w:rsidRPr="00AB0EF1">
        <w:t xml:space="preserve"> ČSN </w:t>
      </w:r>
      <w:proofErr w:type="gramStart"/>
      <w:r w:rsidR="00C20D7A" w:rsidRPr="00AB0EF1">
        <w:t xml:space="preserve">73 0802 </w:t>
      </w:r>
      <w:r w:rsidRPr="00AB0EF1">
        <w:t xml:space="preserve"> se</w:t>
      </w:r>
      <w:proofErr w:type="gramEnd"/>
      <w:r w:rsidRPr="00AB0EF1">
        <w:t xml:space="preserve"> vstupní dveře do bytů mohou</w:t>
      </w:r>
      <w:r w:rsidR="00BF7152" w:rsidRPr="00AB0EF1">
        <w:t xml:space="preserve"> otevírat proti směru úniku.</w:t>
      </w:r>
      <w:r w:rsidR="005E256A">
        <w:t xml:space="preserve"> Proti směru úniku se mohou otevírat také východové dveře, neboť z objektu uniká méně než 200 osob (72 osob).</w:t>
      </w:r>
    </w:p>
    <w:p w:rsidR="00BF7152" w:rsidRDefault="00BF7152" w:rsidP="00CA69CD">
      <w:pPr>
        <w:spacing w:after="120"/>
        <w:ind w:firstLine="708"/>
        <w:jc w:val="both"/>
      </w:pPr>
      <w:r w:rsidRPr="00AB0EF1">
        <w:t xml:space="preserve">V souladu s čl. 9.13.4 </w:t>
      </w:r>
      <w:r w:rsidR="00C20D7A" w:rsidRPr="00AB0EF1">
        <w:t xml:space="preserve">ČSN 73 0802 </w:t>
      </w:r>
      <w:r w:rsidRPr="00AB0EF1">
        <w:t>mohou</w:t>
      </w:r>
      <w:r w:rsidR="005E256A">
        <w:t xml:space="preserve"> mít vstu</w:t>
      </w:r>
      <w:r w:rsidR="00351CB4">
        <w:t>pní dveře do bytů práh a podlahu</w:t>
      </w:r>
      <w:r w:rsidR="005E256A">
        <w:t xml:space="preserve"> na obou stranách dveří, jimiž prochází úniková cesta, musí být do vzdálenosti šířky dveřního křídla ve stejné výškové úrovni s výjimkou dveří na volné prostranství, za nimiž může b</w:t>
      </w:r>
      <w:r w:rsidR="0066537E">
        <w:t>ýt podlaha snížena až o 180 mm.</w:t>
      </w:r>
    </w:p>
    <w:p w:rsidR="0066537E" w:rsidRPr="00AB0EF1" w:rsidRDefault="0066537E" w:rsidP="00CA69CD">
      <w:pPr>
        <w:spacing w:after="120"/>
        <w:ind w:firstLine="708"/>
        <w:jc w:val="both"/>
      </w:pPr>
    </w:p>
    <w:p w:rsidR="0062139D" w:rsidRPr="00CF471E" w:rsidRDefault="0062139D" w:rsidP="00A54219">
      <w:pPr>
        <w:numPr>
          <w:ilvl w:val="0"/>
          <w:numId w:val="3"/>
        </w:numPr>
        <w:jc w:val="both"/>
        <w:rPr>
          <w:b/>
          <w:sz w:val="28"/>
          <w:szCs w:val="28"/>
        </w:rPr>
      </w:pPr>
      <w:r w:rsidRPr="00CF471E">
        <w:rPr>
          <w:b/>
          <w:sz w:val="28"/>
          <w:szCs w:val="28"/>
        </w:rPr>
        <w:t xml:space="preserve">Posouzení </w:t>
      </w:r>
      <w:proofErr w:type="spellStart"/>
      <w:r w:rsidRPr="00CF471E">
        <w:rPr>
          <w:b/>
          <w:sz w:val="28"/>
          <w:szCs w:val="28"/>
        </w:rPr>
        <w:t>odstupových</w:t>
      </w:r>
      <w:proofErr w:type="spellEnd"/>
      <w:r w:rsidR="004F0A0F" w:rsidRPr="00CF471E">
        <w:rPr>
          <w:b/>
          <w:sz w:val="28"/>
          <w:szCs w:val="28"/>
        </w:rPr>
        <w:t xml:space="preserve"> vzdáleností</w:t>
      </w:r>
    </w:p>
    <w:p w:rsidR="00A50637" w:rsidRPr="00CF471E" w:rsidRDefault="00A50637" w:rsidP="00247BC8">
      <w:pPr>
        <w:jc w:val="both"/>
      </w:pPr>
    </w:p>
    <w:p w:rsidR="008570C4" w:rsidRPr="00CF471E" w:rsidRDefault="008570C4" w:rsidP="00CA69CD">
      <w:pPr>
        <w:spacing w:after="120"/>
        <w:ind w:firstLine="708"/>
        <w:jc w:val="both"/>
      </w:pPr>
      <w:proofErr w:type="spellStart"/>
      <w:r w:rsidRPr="00CF471E">
        <w:t>Odstupové</w:t>
      </w:r>
      <w:proofErr w:type="spellEnd"/>
      <w:r w:rsidRPr="00CF471E">
        <w:t xml:space="preserve"> vzdálenosti budou řešeny pro nově vzniklé </w:t>
      </w:r>
      <w:r w:rsidR="006A1EB6" w:rsidRPr="00CF471E">
        <w:t xml:space="preserve">a zvětšené </w:t>
      </w:r>
      <w:r w:rsidRPr="00CF471E">
        <w:t>požárně otevřené plochy</w:t>
      </w:r>
      <w:r w:rsidRPr="00CF471E">
        <w:rPr>
          <w:bCs/>
        </w:rPr>
        <w:t xml:space="preserve"> z podmínky hustoty tepelného toku 18,5 </w:t>
      </w:r>
      <w:proofErr w:type="gramStart"/>
      <w:r w:rsidRPr="00CF471E">
        <w:rPr>
          <w:bCs/>
        </w:rPr>
        <w:t>kW</w:t>
      </w:r>
      <w:proofErr w:type="gramEnd"/>
      <w:r w:rsidRPr="00CF471E">
        <w:rPr>
          <w:bCs/>
        </w:rPr>
        <w:t>.</w:t>
      </w:r>
      <w:proofErr w:type="gramStart"/>
      <w:r w:rsidRPr="00CF471E">
        <w:rPr>
          <w:bCs/>
        </w:rPr>
        <w:t>m</w:t>
      </w:r>
      <w:r w:rsidRPr="00CF471E">
        <w:rPr>
          <w:bCs/>
          <w:vertAlign w:val="superscript"/>
        </w:rPr>
        <w:t>2</w:t>
      </w:r>
      <w:proofErr w:type="gramEnd"/>
      <w:r w:rsidRPr="00CF471E">
        <w:rPr>
          <w:bCs/>
        </w:rPr>
        <w:t xml:space="preserve"> pro </w:t>
      </w:r>
      <w:proofErr w:type="spellStart"/>
      <w:r w:rsidRPr="00CF471E">
        <w:rPr>
          <w:bCs/>
        </w:rPr>
        <w:t>p</w:t>
      </w:r>
      <w:r w:rsidRPr="00CF471E">
        <w:rPr>
          <w:vertAlign w:val="subscript"/>
        </w:rPr>
        <w:t>v</w:t>
      </w:r>
      <w:proofErr w:type="spellEnd"/>
      <w:r w:rsidR="00A548B5" w:rsidRPr="00CF471E">
        <w:t xml:space="preserve"> = 45</w:t>
      </w:r>
      <w:r w:rsidRPr="00CF471E">
        <w:t xml:space="preserve"> kg.m</w:t>
      </w:r>
      <w:r w:rsidRPr="00CF471E">
        <w:rPr>
          <w:vertAlign w:val="superscript"/>
        </w:rPr>
        <w:t>-2</w:t>
      </w:r>
      <w:r w:rsidRPr="00CF471E">
        <w:t xml:space="preserve"> s přihléd</w:t>
      </w:r>
      <w:r w:rsidR="006A1EB6" w:rsidRPr="00CF471E">
        <w:t xml:space="preserve">nutím </w:t>
      </w:r>
      <w:r w:rsidR="004F0A0F" w:rsidRPr="00CF471E">
        <w:t>nehořlavému</w:t>
      </w:r>
      <w:r w:rsidRPr="00CF471E">
        <w:t xml:space="preserve"> KS.</w:t>
      </w:r>
      <w:r w:rsidR="00CF471E" w:rsidRPr="00CF471E">
        <w:t xml:space="preserve"> Jedná se o vyhodnocení požárně otevřených ploch pouze v 5.NP, v nižších pod</w:t>
      </w:r>
      <w:r w:rsidR="008A599D">
        <w:t>lažích nedochází ke zvětšení stá</w:t>
      </w:r>
      <w:r w:rsidR="00CF471E" w:rsidRPr="00CF471E">
        <w:t>vajících požárně otevřených ploch ani nevznikají nové požárně otevřené plochy</w:t>
      </w:r>
      <w:r w:rsidR="00450CCC">
        <w:t xml:space="preserve"> a zároveň nedochází ke zvýšení požárního zatížení</w:t>
      </w:r>
      <w:r w:rsidR="00CF471E" w:rsidRPr="00CF471E">
        <w:t xml:space="preserve">. </w:t>
      </w:r>
      <w:r w:rsidR="00CF471E">
        <w:t xml:space="preserve">Stavební otvory chráněné únikové cesty nejsou v souladu s čl. 8.4.6 ČSN 73 0802 považovány </w:t>
      </w:r>
      <w:r w:rsidR="00F3287F">
        <w:t>za požárně otevřené plochy.</w:t>
      </w:r>
    </w:p>
    <w:p w:rsidR="008570C4" w:rsidRPr="00CF471E" w:rsidRDefault="008570C4" w:rsidP="00CA69CD">
      <w:pPr>
        <w:spacing w:after="120"/>
        <w:ind w:firstLine="708"/>
        <w:jc w:val="both"/>
      </w:pPr>
      <w:r w:rsidRPr="00CF471E">
        <w:t xml:space="preserve">Vyhodnocení </w:t>
      </w:r>
      <w:proofErr w:type="spellStart"/>
      <w:r w:rsidRPr="00CF471E">
        <w:t>odstupových</w:t>
      </w:r>
      <w:proofErr w:type="spellEnd"/>
      <w:r w:rsidRPr="00CF471E">
        <w:t xml:space="preserve"> vzdáleností </w:t>
      </w:r>
      <w:proofErr w:type="gramStart"/>
      <w:r w:rsidRPr="00CF471E">
        <w:t>viz.</w:t>
      </w:r>
      <w:proofErr w:type="gramEnd"/>
      <w:r w:rsidRPr="00CF471E">
        <w:t xml:space="preserve"> </w:t>
      </w:r>
      <w:proofErr w:type="gramStart"/>
      <w:r w:rsidRPr="00CF471E">
        <w:t>Tab.1.</w:t>
      </w:r>
      <w:proofErr w:type="gramEnd"/>
    </w:p>
    <w:p w:rsidR="00CA69CD" w:rsidRPr="00920463" w:rsidRDefault="00CA69CD" w:rsidP="008570C4">
      <w:pPr>
        <w:rPr>
          <w:b/>
          <w:color w:val="FF0000"/>
        </w:rPr>
      </w:pPr>
    </w:p>
    <w:p w:rsidR="008570C4" w:rsidRPr="00165DD8" w:rsidRDefault="008570C4" w:rsidP="008570C4">
      <w:pPr>
        <w:rPr>
          <w:b/>
        </w:rPr>
      </w:pPr>
      <w:proofErr w:type="gramStart"/>
      <w:r w:rsidRPr="00165DD8">
        <w:rPr>
          <w:b/>
        </w:rPr>
        <w:t>Tab.1</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3"/>
        <w:gridCol w:w="1724"/>
        <w:gridCol w:w="2755"/>
        <w:gridCol w:w="2147"/>
        <w:gridCol w:w="1419"/>
      </w:tblGrid>
      <w:tr w:rsidR="008570C4" w:rsidRPr="00165DD8" w:rsidTr="003D425D">
        <w:trPr>
          <w:tblHeader/>
        </w:trPr>
        <w:tc>
          <w:tcPr>
            <w:tcW w:w="669" w:type="pct"/>
            <w:shd w:val="clear" w:color="auto" w:fill="BFBFBF"/>
          </w:tcPr>
          <w:p w:rsidR="008570C4" w:rsidRPr="00165DD8" w:rsidRDefault="008570C4" w:rsidP="003D425D">
            <w:pPr>
              <w:jc w:val="center"/>
              <w:rPr>
                <w:b/>
                <w:sz w:val="22"/>
                <w:szCs w:val="22"/>
              </w:rPr>
            </w:pPr>
            <w:r w:rsidRPr="00165DD8">
              <w:rPr>
                <w:b/>
                <w:sz w:val="22"/>
                <w:szCs w:val="22"/>
              </w:rPr>
              <w:t>Č.</w:t>
            </w:r>
          </w:p>
          <w:p w:rsidR="008570C4" w:rsidRPr="00165DD8" w:rsidRDefault="008570C4" w:rsidP="003D425D">
            <w:pPr>
              <w:jc w:val="center"/>
              <w:rPr>
                <w:b/>
                <w:sz w:val="22"/>
                <w:szCs w:val="22"/>
              </w:rPr>
            </w:pPr>
          </w:p>
        </w:tc>
        <w:tc>
          <w:tcPr>
            <w:tcW w:w="928" w:type="pct"/>
            <w:shd w:val="clear" w:color="auto" w:fill="BFBFBF"/>
          </w:tcPr>
          <w:p w:rsidR="008570C4" w:rsidRPr="00165DD8" w:rsidRDefault="008570C4" w:rsidP="003D425D">
            <w:pPr>
              <w:jc w:val="center"/>
              <w:rPr>
                <w:b/>
                <w:sz w:val="22"/>
                <w:szCs w:val="22"/>
              </w:rPr>
            </w:pPr>
            <w:r w:rsidRPr="00165DD8">
              <w:rPr>
                <w:b/>
                <w:sz w:val="22"/>
                <w:szCs w:val="22"/>
              </w:rPr>
              <w:t>Orientace</w:t>
            </w:r>
          </w:p>
        </w:tc>
        <w:tc>
          <w:tcPr>
            <w:tcW w:w="1483" w:type="pct"/>
            <w:shd w:val="clear" w:color="auto" w:fill="BFBFBF"/>
          </w:tcPr>
          <w:p w:rsidR="008570C4" w:rsidRPr="00165DD8" w:rsidRDefault="008570C4" w:rsidP="003D425D">
            <w:pPr>
              <w:jc w:val="center"/>
              <w:rPr>
                <w:b/>
                <w:sz w:val="22"/>
                <w:szCs w:val="22"/>
              </w:rPr>
            </w:pPr>
            <w:r w:rsidRPr="00165DD8">
              <w:rPr>
                <w:b/>
                <w:sz w:val="22"/>
                <w:szCs w:val="22"/>
              </w:rPr>
              <w:t>Popis</w:t>
            </w:r>
          </w:p>
        </w:tc>
        <w:tc>
          <w:tcPr>
            <w:tcW w:w="1156" w:type="pct"/>
            <w:shd w:val="clear" w:color="auto" w:fill="BFBFBF"/>
          </w:tcPr>
          <w:p w:rsidR="008570C4" w:rsidRPr="00165DD8" w:rsidRDefault="008570C4" w:rsidP="003D425D">
            <w:pPr>
              <w:jc w:val="center"/>
              <w:rPr>
                <w:b/>
                <w:sz w:val="22"/>
                <w:szCs w:val="22"/>
              </w:rPr>
            </w:pPr>
            <w:r w:rsidRPr="00165DD8">
              <w:rPr>
                <w:b/>
                <w:sz w:val="22"/>
                <w:szCs w:val="22"/>
              </w:rPr>
              <w:t>Rozměry otvoru</w:t>
            </w:r>
          </w:p>
          <w:p w:rsidR="008570C4" w:rsidRPr="00165DD8" w:rsidRDefault="008570C4" w:rsidP="003D425D">
            <w:pPr>
              <w:jc w:val="center"/>
              <w:rPr>
                <w:b/>
                <w:sz w:val="22"/>
                <w:szCs w:val="22"/>
              </w:rPr>
            </w:pPr>
            <w:r w:rsidRPr="00165DD8">
              <w:rPr>
                <w:b/>
                <w:sz w:val="22"/>
                <w:szCs w:val="22"/>
              </w:rPr>
              <w:t>š x v (m)</w:t>
            </w:r>
          </w:p>
        </w:tc>
        <w:tc>
          <w:tcPr>
            <w:tcW w:w="764" w:type="pct"/>
            <w:shd w:val="clear" w:color="auto" w:fill="BFBFBF"/>
          </w:tcPr>
          <w:p w:rsidR="008570C4" w:rsidRPr="00165DD8" w:rsidRDefault="008570C4" w:rsidP="003D425D">
            <w:pPr>
              <w:jc w:val="center"/>
              <w:rPr>
                <w:b/>
                <w:sz w:val="22"/>
                <w:szCs w:val="22"/>
              </w:rPr>
            </w:pPr>
            <w:r w:rsidRPr="00165DD8">
              <w:rPr>
                <w:b/>
                <w:sz w:val="22"/>
                <w:szCs w:val="22"/>
              </w:rPr>
              <w:t xml:space="preserve">Odst. vzdál. </w:t>
            </w:r>
            <w:r w:rsidR="00165DD8">
              <w:rPr>
                <w:b/>
                <w:sz w:val="22"/>
                <w:szCs w:val="22"/>
              </w:rPr>
              <w:t xml:space="preserve">/ přesah radiace do stran </w:t>
            </w:r>
            <w:r w:rsidRPr="00165DD8">
              <w:rPr>
                <w:b/>
                <w:sz w:val="22"/>
                <w:szCs w:val="22"/>
              </w:rPr>
              <w:t>(m)</w:t>
            </w:r>
          </w:p>
        </w:tc>
      </w:tr>
      <w:tr w:rsidR="00276B8A" w:rsidRPr="00165DD8" w:rsidTr="00276B8A">
        <w:tc>
          <w:tcPr>
            <w:tcW w:w="5000" w:type="pct"/>
            <w:gridSpan w:val="5"/>
            <w:shd w:val="clear" w:color="auto" w:fill="D9D9D9"/>
            <w:vAlign w:val="center"/>
          </w:tcPr>
          <w:p w:rsidR="00276B8A" w:rsidRPr="00165DD8" w:rsidRDefault="003A2B42" w:rsidP="003D425D">
            <w:pPr>
              <w:jc w:val="center"/>
              <w:rPr>
                <w:sz w:val="22"/>
                <w:szCs w:val="22"/>
              </w:rPr>
            </w:pPr>
            <w:r w:rsidRPr="00165DD8">
              <w:rPr>
                <w:sz w:val="22"/>
                <w:szCs w:val="22"/>
              </w:rPr>
              <w:t xml:space="preserve"> </w:t>
            </w:r>
            <w:r w:rsidR="00F3287F" w:rsidRPr="00165DD8">
              <w:rPr>
                <w:sz w:val="22"/>
                <w:szCs w:val="22"/>
              </w:rPr>
              <w:t>5</w:t>
            </w:r>
            <w:r w:rsidR="00CF471E" w:rsidRPr="00165DD8">
              <w:rPr>
                <w:sz w:val="22"/>
                <w:szCs w:val="22"/>
              </w:rPr>
              <w:t>.NP</w:t>
            </w:r>
          </w:p>
        </w:tc>
      </w:tr>
      <w:tr w:rsidR="005B798B" w:rsidRPr="00165DD8" w:rsidTr="003D425D">
        <w:tc>
          <w:tcPr>
            <w:tcW w:w="669" w:type="pct"/>
            <w:vAlign w:val="center"/>
          </w:tcPr>
          <w:p w:rsidR="005B798B" w:rsidRPr="00165DD8" w:rsidRDefault="00F3287F" w:rsidP="0089797E">
            <w:pPr>
              <w:jc w:val="center"/>
              <w:rPr>
                <w:sz w:val="22"/>
                <w:szCs w:val="22"/>
              </w:rPr>
            </w:pPr>
            <w:r w:rsidRPr="00165DD8">
              <w:rPr>
                <w:sz w:val="22"/>
                <w:szCs w:val="22"/>
              </w:rPr>
              <w:t>1.</w:t>
            </w:r>
          </w:p>
        </w:tc>
        <w:tc>
          <w:tcPr>
            <w:tcW w:w="928" w:type="pct"/>
          </w:tcPr>
          <w:p w:rsidR="005B798B" w:rsidRPr="00165DD8" w:rsidRDefault="00F3287F" w:rsidP="005B798B">
            <w:pPr>
              <w:jc w:val="center"/>
            </w:pPr>
            <w:r w:rsidRPr="00165DD8">
              <w:t xml:space="preserve">Dvůr </w:t>
            </w:r>
          </w:p>
        </w:tc>
        <w:tc>
          <w:tcPr>
            <w:tcW w:w="1483" w:type="pct"/>
          </w:tcPr>
          <w:p w:rsidR="005B798B" w:rsidRPr="00165DD8" w:rsidRDefault="00F3287F" w:rsidP="003D425D">
            <w:pPr>
              <w:jc w:val="center"/>
            </w:pPr>
            <w:r w:rsidRPr="00165DD8">
              <w:t xml:space="preserve">Okno </w:t>
            </w:r>
            <w:proofErr w:type="gramStart"/>
            <w:r w:rsidRPr="00165DD8">
              <w:t>m.č.</w:t>
            </w:r>
            <w:proofErr w:type="gramEnd"/>
            <w:r w:rsidRPr="00165DD8">
              <w:t xml:space="preserve"> 514</w:t>
            </w:r>
          </w:p>
        </w:tc>
        <w:tc>
          <w:tcPr>
            <w:tcW w:w="1156" w:type="pct"/>
            <w:vAlign w:val="center"/>
          </w:tcPr>
          <w:p w:rsidR="005B798B" w:rsidRPr="00165DD8" w:rsidRDefault="00F3287F" w:rsidP="005B798B">
            <w:pPr>
              <w:jc w:val="center"/>
              <w:rPr>
                <w:sz w:val="22"/>
                <w:szCs w:val="22"/>
              </w:rPr>
            </w:pPr>
            <w:r w:rsidRPr="00165DD8">
              <w:rPr>
                <w:sz w:val="22"/>
                <w:szCs w:val="22"/>
              </w:rPr>
              <w:t xml:space="preserve">1,1 x </w:t>
            </w:r>
            <w:r w:rsidR="00351CB4">
              <w:rPr>
                <w:sz w:val="22"/>
                <w:szCs w:val="22"/>
              </w:rPr>
              <w:t>1,45</w:t>
            </w:r>
          </w:p>
        </w:tc>
        <w:tc>
          <w:tcPr>
            <w:tcW w:w="764" w:type="pct"/>
            <w:vAlign w:val="center"/>
          </w:tcPr>
          <w:p w:rsidR="00DF1115" w:rsidRPr="00165DD8" w:rsidRDefault="00351CB4" w:rsidP="00DF1115">
            <w:pPr>
              <w:jc w:val="center"/>
              <w:rPr>
                <w:sz w:val="22"/>
                <w:szCs w:val="22"/>
              </w:rPr>
            </w:pPr>
            <w:r>
              <w:rPr>
                <w:sz w:val="22"/>
                <w:szCs w:val="22"/>
              </w:rPr>
              <w:t>1,</w:t>
            </w:r>
            <w:r w:rsidR="008C6E94">
              <w:rPr>
                <w:sz w:val="22"/>
                <w:szCs w:val="22"/>
              </w:rPr>
              <w:t>57</w:t>
            </w:r>
            <w:r w:rsidR="00165DD8" w:rsidRPr="00165DD8">
              <w:rPr>
                <w:sz w:val="22"/>
                <w:szCs w:val="22"/>
              </w:rPr>
              <w:t xml:space="preserve"> / 0,9</w:t>
            </w:r>
          </w:p>
        </w:tc>
      </w:tr>
      <w:tr w:rsidR="00F3287F" w:rsidRPr="00165DD8" w:rsidTr="00C07AAF">
        <w:tc>
          <w:tcPr>
            <w:tcW w:w="669" w:type="pct"/>
            <w:vAlign w:val="center"/>
          </w:tcPr>
          <w:p w:rsidR="00F3287F" w:rsidRPr="00165DD8" w:rsidRDefault="00F3287F" w:rsidP="0089797E">
            <w:pPr>
              <w:jc w:val="center"/>
              <w:rPr>
                <w:sz w:val="22"/>
                <w:szCs w:val="22"/>
              </w:rPr>
            </w:pPr>
            <w:r w:rsidRPr="00165DD8">
              <w:rPr>
                <w:sz w:val="22"/>
                <w:szCs w:val="22"/>
              </w:rPr>
              <w:t>2.</w:t>
            </w:r>
          </w:p>
        </w:tc>
        <w:tc>
          <w:tcPr>
            <w:tcW w:w="928" w:type="pct"/>
          </w:tcPr>
          <w:p w:rsidR="00F3287F" w:rsidRPr="00165DD8" w:rsidRDefault="00F3287F" w:rsidP="00F3287F">
            <w:pPr>
              <w:jc w:val="center"/>
            </w:pPr>
            <w:r w:rsidRPr="00165DD8">
              <w:t>Dvůr</w:t>
            </w:r>
          </w:p>
        </w:tc>
        <w:tc>
          <w:tcPr>
            <w:tcW w:w="1483" w:type="pct"/>
          </w:tcPr>
          <w:p w:rsidR="00F3287F" w:rsidRPr="00165DD8" w:rsidRDefault="00F3287F" w:rsidP="00D8202F">
            <w:pPr>
              <w:jc w:val="center"/>
            </w:pPr>
            <w:r w:rsidRPr="00165DD8">
              <w:t xml:space="preserve">Okno </w:t>
            </w:r>
            <w:proofErr w:type="gramStart"/>
            <w:r w:rsidRPr="00165DD8">
              <w:t>m.č.</w:t>
            </w:r>
            <w:proofErr w:type="gramEnd"/>
            <w:r w:rsidRPr="00165DD8">
              <w:t xml:space="preserve"> 513</w:t>
            </w:r>
          </w:p>
        </w:tc>
        <w:tc>
          <w:tcPr>
            <w:tcW w:w="1156" w:type="pct"/>
            <w:vAlign w:val="center"/>
          </w:tcPr>
          <w:p w:rsidR="00F3287F" w:rsidRPr="00165DD8" w:rsidRDefault="00F3287F" w:rsidP="00D8202F">
            <w:pPr>
              <w:jc w:val="center"/>
              <w:rPr>
                <w:sz w:val="22"/>
                <w:szCs w:val="22"/>
              </w:rPr>
            </w:pPr>
            <w:r w:rsidRPr="00165DD8">
              <w:rPr>
                <w:sz w:val="22"/>
                <w:szCs w:val="22"/>
              </w:rPr>
              <w:t xml:space="preserve">1,08 x </w:t>
            </w:r>
            <w:r w:rsidR="00351CB4">
              <w:rPr>
                <w:sz w:val="22"/>
                <w:szCs w:val="22"/>
              </w:rPr>
              <w:t>1,45</w:t>
            </w:r>
          </w:p>
        </w:tc>
        <w:tc>
          <w:tcPr>
            <w:tcW w:w="764" w:type="pct"/>
            <w:vAlign w:val="center"/>
          </w:tcPr>
          <w:p w:rsidR="00F3287F" w:rsidRPr="00165DD8" w:rsidRDefault="008C6E94" w:rsidP="003D425D">
            <w:pPr>
              <w:jc w:val="center"/>
              <w:rPr>
                <w:sz w:val="22"/>
                <w:szCs w:val="22"/>
              </w:rPr>
            </w:pPr>
            <w:r>
              <w:rPr>
                <w:sz w:val="22"/>
                <w:szCs w:val="22"/>
              </w:rPr>
              <w:t>1,56</w:t>
            </w:r>
            <w:r w:rsidRPr="00165DD8">
              <w:rPr>
                <w:sz w:val="22"/>
                <w:szCs w:val="22"/>
              </w:rPr>
              <w:t xml:space="preserve"> / 0,9</w:t>
            </w:r>
          </w:p>
        </w:tc>
      </w:tr>
      <w:tr w:rsidR="00F3287F" w:rsidRPr="00165DD8" w:rsidTr="003D425D">
        <w:tc>
          <w:tcPr>
            <w:tcW w:w="669" w:type="pct"/>
            <w:vAlign w:val="center"/>
          </w:tcPr>
          <w:p w:rsidR="00F3287F" w:rsidRPr="00165DD8" w:rsidRDefault="00F3287F" w:rsidP="003D425D">
            <w:pPr>
              <w:jc w:val="center"/>
              <w:rPr>
                <w:sz w:val="22"/>
                <w:szCs w:val="22"/>
              </w:rPr>
            </w:pPr>
            <w:r w:rsidRPr="00165DD8">
              <w:rPr>
                <w:sz w:val="22"/>
                <w:szCs w:val="22"/>
              </w:rPr>
              <w:t>3.</w:t>
            </w:r>
          </w:p>
        </w:tc>
        <w:tc>
          <w:tcPr>
            <w:tcW w:w="928" w:type="pct"/>
          </w:tcPr>
          <w:p w:rsidR="00F3287F" w:rsidRPr="00165DD8" w:rsidRDefault="00F3287F" w:rsidP="00F3287F">
            <w:pPr>
              <w:jc w:val="center"/>
            </w:pPr>
            <w:r w:rsidRPr="00165DD8">
              <w:t>Dvůr</w:t>
            </w:r>
          </w:p>
        </w:tc>
        <w:tc>
          <w:tcPr>
            <w:tcW w:w="1483" w:type="pct"/>
          </w:tcPr>
          <w:p w:rsidR="00F3287F" w:rsidRPr="00165DD8" w:rsidRDefault="00F3287F" w:rsidP="00276B8A">
            <w:pPr>
              <w:jc w:val="center"/>
            </w:pPr>
            <w:r w:rsidRPr="00165DD8">
              <w:t xml:space="preserve">Okno </w:t>
            </w:r>
            <w:proofErr w:type="gramStart"/>
            <w:r w:rsidRPr="00165DD8">
              <w:t>m.č.</w:t>
            </w:r>
            <w:proofErr w:type="gramEnd"/>
            <w:r w:rsidRPr="00165DD8">
              <w:t xml:space="preserve"> 502c</w:t>
            </w:r>
          </w:p>
        </w:tc>
        <w:tc>
          <w:tcPr>
            <w:tcW w:w="1156" w:type="pct"/>
            <w:vAlign w:val="center"/>
          </w:tcPr>
          <w:p w:rsidR="00F3287F" w:rsidRPr="00165DD8" w:rsidRDefault="00F3287F" w:rsidP="00770502">
            <w:pPr>
              <w:jc w:val="center"/>
              <w:rPr>
                <w:sz w:val="22"/>
                <w:szCs w:val="22"/>
              </w:rPr>
            </w:pPr>
            <w:r w:rsidRPr="00165DD8">
              <w:rPr>
                <w:sz w:val="22"/>
                <w:szCs w:val="22"/>
              </w:rPr>
              <w:t>0,38 x 0,87</w:t>
            </w:r>
          </w:p>
        </w:tc>
        <w:tc>
          <w:tcPr>
            <w:tcW w:w="764" w:type="pct"/>
            <w:vAlign w:val="center"/>
          </w:tcPr>
          <w:p w:rsidR="00F3287F" w:rsidRPr="00165DD8" w:rsidRDefault="00165DD8" w:rsidP="003D425D">
            <w:pPr>
              <w:jc w:val="center"/>
              <w:rPr>
                <w:sz w:val="22"/>
                <w:szCs w:val="22"/>
              </w:rPr>
            </w:pPr>
            <w:r w:rsidRPr="00165DD8">
              <w:rPr>
                <w:sz w:val="22"/>
                <w:szCs w:val="22"/>
              </w:rPr>
              <w:t>0,69</w:t>
            </w:r>
          </w:p>
        </w:tc>
      </w:tr>
      <w:tr w:rsidR="00F3287F" w:rsidRPr="00165DD8" w:rsidTr="003D425D">
        <w:tc>
          <w:tcPr>
            <w:tcW w:w="669" w:type="pct"/>
            <w:vAlign w:val="center"/>
          </w:tcPr>
          <w:p w:rsidR="00F3287F" w:rsidRPr="00165DD8" w:rsidRDefault="00F3287F" w:rsidP="003D425D">
            <w:pPr>
              <w:jc w:val="center"/>
              <w:rPr>
                <w:sz w:val="22"/>
                <w:szCs w:val="22"/>
              </w:rPr>
            </w:pPr>
            <w:r w:rsidRPr="00165DD8">
              <w:rPr>
                <w:sz w:val="22"/>
                <w:szCs w:val="22"/>
              </w:rPr>
              <w:t>4.</w:t>
            </w:r>
          </w:p>
        </w:tc>
        <w:tc>
          <w:tcPr>
            <w:tcW w:w="928" w:type="pct"/>
          </w:tcPr>
          <w:p w:rsidR="00F3287F" w:rsidRPr="00165DD8" w:rsidRDefault="00F3287F" w:rsidP="00F3287F">
            <w:pPr>
              <w:jc w:val="center"/>
            </w:pPr>
            <w:r w:rsidRPr="00165DD8">
              <w:t>Dvůr</w:t>
            </w:r>
          </w:p>
        </w:tc>
        <w:tc>
          <w:tcPr>
            <w:tcW w:w="1483" w:type="pct"/>
          </w:tcPr>
          <w:p w:rsidR="00F3287F" w:rsidRPr="00165DD8" w:rsidRDefault="00F3287F" w:rsidP="00730DD8">
            <w:pPr>
              <w:jc w:val="center"/>
            </w:pPr>
            <w:r w:rsidRPr="00165DD8">
              <w:t xml:space="preserve">Okno </w:t>
            </w:r>
            <w:proofErr w:type="gramStart"/>
            <w:r w:rsidRPr="00165DD8">
              <w:t>m.č.</w:t>
            </w:r>
            <w:proofErr w:type="gramEnd"/>
            <w:r w:rsidRPr="00165DD8">
              <w:t xml:space="preserve"> 505</w:t>
            </w:r>
          </w:p>
        </w:tc>
        <w:tc>
          <w:tcPr>
            <w:tcW w:w="1156" w:type="pct"/>
            <w:vAlign w:val="center"/>
          </w:tcPr>
          <w:p w:rsidR="00F3287F" w:rsidRPr="00165DD8" w:rsidRDefault="00F3287F" w:rsidP="00730DD8">
            <w:pPr>
              <w:jc w:val="center"/>
              <w:rPr>
                <w:sz w:val="22"/>
                <w:szCs w:val="22"/>
              </w:rPr>
            </w:pPr>
            <w:r w:rsidRPr="00165DD8">
              <w:rPr>
                <w:sz w:val="22"/>
                <w:szCs w:val="22"/>
              </w:rPr>
              <w:t xml:space="preserve">1,08 x </w:t>
            </w:r>
            <w:r w:rsidR="00351CB4">
              <w:rPr>
                <w:sz w:val="22"/>
                <w:szCs w:val="22"/>
              </w:rPr>
              <w:t>1,45</w:t>
            </w:r>
          </w:p>
        </w:tc>
        <w:tc>
          <w:tcPr>
            <w:tcW w:w="764" w:type="pct"/>
            <w:vAlign w:val="center"/>
          </w:tcPr>
          <w:p w:rsidR="00F3287F" w:rsidRPr="008C6E94" w:rsidRDefault="008C6E94" w:rsidP="003D425D">
            <w:pPr>
              <w:jc w:val="center"/>
              <w:rPr>
                <w:b/>
                <w:sz w:val="22"/>
                <w:szCs w:val="22"/>
              </w:rPr>
            </w:pPr>
            <w:r>
              <w:rPr>
                <w:sz w:val="22"/>
                <w:szCs w:val="22"/>
              </w:rPr>
              <w:t>1,57</w:t>
            </w:r>
            <w:r w:rsidRPr="00165DD8">
              <w:rPr>
                <w:sz w:val="22"/>
                <w:szCs w:val="22"/>
              </w:rPr>
              <w:t xml:space="preserve"> / 0,9</w:t>
            </w:r>
          </w:p>
        </w:tc>
      </w:tr>
      <w:tr w:rsidR="00B02463" w:rsidRPr="00165DD8" w:rsidTr="003D425D">
        <w:tc>
          <w:tcPr>
            <w:tcW w:w="669" w:type="pct"/>
            <w:vAlign w:val="center"/>
          </w:tcPr>
          <w:p w:rsidR="00B02463" w:rsidRPr="00165DD8" w:rsidRDefault="00F3287F" w:rsidP="003D425D">
            <w:pPr>
              <w:jc w:val="center"/>
              <w:rPr>
                <w:sz w:val="22"/>
                <w:szCs w:val="22"/>
              </w:rPr>
            </w:pPr>
            <w:r w:rsidRPr="00165DD8">
              <w:rPr>
                <w:sz w:val="22"/>
                <w:szCs w:val="22"/>
              </w:rPr>
              <w:t>5.</w:t>
            </w:r>
          </w:p>
        </w:tc>
        <w:tc>
          <w:tcPr>
            <w:tcW w:w="928" w:type="pct"/>
          </w:tcPr>
          <w:p w:rsidR="00B02463" w:rsidRPr="00165DD8" w:rsidRDefault="00F3287F" w:rsidP="003D425D">
            <w:pPr>
              <w:jc w:val="center"/>
              <w:rPr>
                <w:sz w:val="22"/>
                <w:szCs w:val="22"/>
              </w:rPr>
            </w:pPr>
            <w:r w:rsidRPr="00165DD8">
              <w:rPr>
                <w:sz w:val="22"/>
                <w:szCs w:val="22"/>
              </w:rPr>
              <w:t xml:space="preserve">Ulice </w:t>
            </w:r>
          </w:p>
        </w:tc>
        <w:tc>
          <w:tcPr>
            <w:tcW w:w="1483" w:type="pct"/>
          </w:tcPr>
          <w:p w:rsidR="00B02463" w:rsidRPr="00165DD8" w:rsidRDefault="00F3287F" w:rsidP="00276B8A">
            <w:pPr>
              <w:jc w:val="center"/>
              <w:rPr>
                <w:sz w:val="22"/>
                <w:szCs w:val="22"/>
              </w:rPr>
            </w:pPr>
            <w:r w:rsidRPr="00165DD8">
              <w:rPr>
                <w:sz w:val="22"/>
                <w:szCs w:val="22"/>
              </w:rPr>
              <w:t xml:space="preserve">Soubor dvou střešních oken </w:t>
            </w:r>
            <w:proofErr w:type="gramStart"/>
            <w:r w:rsidRPr="00165DD8">
              <w:rPr>
                <w:sz w:val="22"/>
                <w:szCs w:val="22"/>
              </w:rPr>
              <w:t>m.č.</w:t>
            </w:r>
            <w:proofErr w:type="gramEnd"/>
            <w:r w:rsidRPr="00165DD8">
              <w:rPr>
                <w:sz w:val="22"/>
                <w:szCs w:val="22"/>
              </w:rPr>
              <w:t xml:space="preserve"> 507,511,512,516,517</w:t>
            </w:r>
          </w:p>
        </w:tc>
        <w:tc>
          <w:tcPr>
            <w:tcW w:w="1156" w:type="pct"/>
            <w:vAlign w:val="center"/>
          </w:tcPr>
          <w:p w:rsidR="00B02463" w:rsidRPr="00165DD8" w:rsidRDefault="00F3287F" w:rsidP="003D425D">
            <w:pPr>
              <w:jc w:val="center"/>
              <w:rPr>
                <w:sz w:val="22"/>
                <w:szCs w:val="22"/>
              </w:rPr>
            </w:pPr>
            <w:r w:rsidRPr="00165DD8">
              <w:rPr>
                <w:sz w:val="22"/>
                <w:szCs w:val="22"/>
              </w:rPr>
              <w:t>2,03 x 1,19</w:t>
            </w:r>
          </w:p>
        </w:tc>
        <w:tc>
          <w:tcPr>
            <w:tcW w:w="764" w:type="pct"/>
            <w:vAlign w:val="center"/>
          </w:tcPr>
          <w:p w:rsidR="00B02463" w:rsidRPr="00165DD8" w:rsidRDefault="00165DD8" w:rsidP="003D425D">
            <w:pPr>
              <w:jc w:val="center"/>
              <w:rPr>
                <w:sz w:val="22"/>
                <w:szCs w:val="22"/>
              </w:rPr>
            </w:pPr>
            <w:r w:rsidRPr="00165DD8">
              <w:rPr>
                <w:sz w:val="22"/>
                <w:szCs w:val="22"/>
              </w:rPr>
              <w:t>1,83 / 1,04</w:t>
            </w:r>
          </w:p>
        </w:tc>
      </w:tr>
    </w:tbl>
    <w:p w:rsidR="00B1315E" w:rsidRPr="00B1315E" w:rsidRDefault="00B1315E" w:rsidP="00621DF2">
      <w:pPr>
        <w:jc w:val="both"/>
      </w:pPr>
    </w:p>
    <w:p w:rsidR="00773DFE" w:rsidRPr="00B1315E" w:rsidRDefault="008570C4" w:rsidP="00621DF2">
      <w:pPr>
        <w:jc w:val="both"/>
      </w:pPr>
      <w:r w:rsidRPr="00B1315E">
        <w:rPr>
          <w:sz w:val="28"/>
          <w:szCs w:val="28"/>
        </w:rPr>
        <w:tab/>
      </w:r>
      <w:r w:rsidR="00B1315E" w:rsidRPr="00B1315E">
        <w:t>Nově vytvořený p</w:t>
      </w:r>
      <w:r w:rsidR="00D12104" w:rsidRPr="00B1315E">
        <w:t xml:space="preserve">ožárně nebezpečný prostor </w:t>
      </w:r>
      <w:r w:rsidRPr="00B1315E">
        <w:t>přesahuje stavební pozemek</w:t>
      </w:r>
      <w:r w:rsidR="00B1315E" w:rsidRPr="00B1315E">
        <w:t xml:space="preserve"> pouze na </w:t>
      </w:r>
      <w:proofErr w:type="spellStart"/>
      <w:proofErr w:type="gramStart"/>
      <w:r w:rsidR="00B1315E" w:rsidRPr="00B1315E">
        <w:t>p.č</w:t>
      </w:r>
      <w:proofErr w:type="spellEnd"/>
      <w:r w:rsidR="00B1315E" w:rsidRPr="00B1315E">
        <w:t>.</w:t>
      </w:r>
      <w:proofErr w:type="gramEnd"/>
      <w:r w:rsidR="00B1315E" w:rsidRPr="00B1315E">
        <w:t xml:space="preserve"> 883/1 – veřejné prostranství – ulice Plynárenská</w:t>
      </w:r>
      <w:r w:rsidR="00621DF2" w:rsidRPr="00B1315E">
        <w:t>.</w:t>
      </w:r>
      <w:r w:rsidR="00B1315E" w:rsidRPr="00B1315E">
        <w:t xml:space="preserve"> </w:t>
      </w:r>
    </w:p>
    <w:p w:rsidR="00B1315E" w:rsidRPr="00B1315E" w:rsidRDefault="00B1315E" w:rsidP="00621DF2">
      <w:pPr>
        <w:jc w:val="both"/>
      </w:pPr>
      <w:r w:rsidRPr="00B1315E">
        <w:tab/>
        <w:t>V požárně nebezpečném prostoru se nenachází jiné objekty nebo požárně otevřené plochy jiných požárních úseků řešeného objektu, nově vytvořené požárně nebezpečné plochy se nenachází v požárně nebezpečném prostoru jiného objektu.</w:t>
      </w:r>
    </w:p>
    <w:p w:rsidR="00773DFE" w:rsidRPr="00920463" w:rsidRDefault="00773DFE" w:rsidP="008570C4">
      <w:pPr>
        <w:jc w:val="both"/>
        <w:rPr>
          <w:color w:val="FF0000"/>
        </w:rPr>
      </w:pPr>
    </w:p>
    <w:p w:rsidR="00CC549F" w:rsidRPr="006C59A4" w:rsidRDefault="008570C4" w:rsidP="00CC549F">
      <w:pPr>
        <w:jc w:val="both"/>
      </w:pPr>
      <w:r w:rsidRPr="00920463">
        <w:rPr>
          <w:color w:val="FF0000"/>
        </w:rPr>
        <w:tab/>
      </w:r>
    </w:p>
    <w:p w:rsidR="00845176" w:rsidRPr="006C59A4" w:rsidRDefault="00845176" w:rsidP="00A54219">
      <w:pPr>
        <w:numPr>
          <w:ilvl w:val="0"/>
          <w:numId w:val="3"/>
        </w:numPr>
        <w:jc w:val="both"/>
        <w:rPr>
          <w:b/>
          <w:sz w:val="28"/>
          <w:szCs w:val="28"/>
        </w:rPr>
      </w:pPr>
      <w:r w:rsidRPr="006C59A4">
        <w:rPr>
          <w:b/>
          <w:sz w:val="28"/>
          <w:szCs w:val="28"/>
        </w:rPr>
        <w:t>Přístupové komunikace</w:t>
      </w:r>
      <w:r w:rsidR="00762673">
        <w:rPr>
          <w:b/>
          <w:sz w:val="28"/>
          <w:szCs w:val="28"/>
        </w:rPr>
        <w:t>, nástupní plochy</w:t>
      </w:r>
      <w:r w:rsidR="00942B68">
        <w:rPr>
          <w:b/>
          <w:sz w:val="28"/>
          <w:szCs w:val="28"/>
        </w:rPr>
        <w:t>, zásahové cesty</w:t>
      </w:r>
      <w:r w:rsidR="00A462C2">
        <w:rPr>
          <w:b/>
          <w:sz w:val="28"/>
          <w:szCs w:val="28"/>
        </w:rPr>
        <w:t>, požárně bezpečnostní zařízení</w:t>
      </w:r>
    </w:p>
    <w:p w:rsidR="00845176" w:rsidRPr="006C59A4" w:rsidRDefault="00845176" w:rsidP="00E27132">
      <w:pPr>
        <w:jc w:val="both"/>
        <w:rPr>
          <w:b/>
          <w:sz w:val="28"/>
          <w:szCs w:val="28"/>
        </w:rPr>
      </w:pPr>
    </w:p>
    <w:p w:rsidR="00845176" w:rsidRDefault="00845176" w:rsidP="00CA69CD">
      <w:pPr>
        <w:spacing w:after="120"/>
        <w:ind w:firstLine="709"/>
        <w:jc w:val="both"/>
      </w:pPr>
      <w:r w:rsidRPr="006C59A4">
        <w:t>K objektu je zajištěn přístup ze zpevněné komunikace</w:t>
      </w:r>
      <w:r w:rsidR="005714D0" w:rsidRPr="006C59A4">
        <w:t xml:space="preserve"> na </w:t>
      </w:r>
      <w:r w:rsidR="00A067F4">
        <w:t xml:space="preserve">ulici </w:t>
      </w:r>
      <w:r w:rsidR="00920463">
        <w:t>Plynárenská</w:t>
      </w:r>
      <w:r w:rsidR="00942B68">
        <w:t xml:space="preserve">, tato </w:t>
      </w:r>
      <w:r w:rsidR="00A067F4">
        <w:t>komunikace vyhovuje</w:t>
      </w:r>
      <w:r w:rsidR="00FB32F4">
        <w:t xml:space="preserve"> požada</w:t>
      </w:r>
      <w:r w:rsidR="00600BE3">
        <w:t xml:space="preserve">vkům čl. </w:t>
      </w:r>
      <w:r w:rsidR="00762673">
        <w:t>12</w:t>
      </w:r>
      <w:r w:rsidR="00600BE3">
        <w:t xml:space="preserve"> ČSN 73 0802</w:t>
      </w:r>
      <w:r w:rsidRPr="006C59A4">
        <w:t>.</w:t>
      </w:r>
    </w:p>
    <w:p w:rsidR="00762673" w:rsidRDefault="00920463" w:rsidP="00CA69CD">
      <w:pPr>
        <w:spacing w:after="120"/>
        <w:ind w:firstLine="709"/>
        <w:jc w:val="both"/>
      </w:pPr>
      <w:r>
        <w:lastRenderedPageBreak/>
        <w:t>Objekt bude vybaven vnitřní zásahovou cestou</w:t>
      </w:r>
      <w:r w:rsidR="00B1315E">
        <w:t>, která bude vedena CHÚC A</w:t>
      </w:r>
      <w:r>
        <w:t>.</w:t>
      </w:r>
    </w:p>
    <w:p w:rsidR="00942B68" w:rsidRDefault="00942B68" w:rsidP="00CA69CD">
      <w:pPr>
        <w:spacing w:after="120"/>
        <w:ind w:firstLine="709"/>
        <w:jc w:val="both"/>
      </w:pPr>
      <w:r>
        <w:t>Vnější zásahové cesty nemusí být v souladu s čl. 5.10.4 ČSN 73 0834 zřízeny (nevýrobní objekt).</w:t>
      </w:r>
    </w:p>
    <w:p w:rsidR="008A5018" w:rsidRDefault="008A5018" w:rsidP="00CA69CD">
      <w:pPr>
        <w:spacing w:after="120"/>
        <w:ind w:firstLine="709"/>
        <w:jc w:val="both"/>
      </w:pPr>
    </w:p>
    <w:p w:rsidR="00EC5AA4" w:rsidRPr="006C59A4" w:rsidRDefault="00EC5AA4" w:rsidP="00A54219">
      <w:pPr>
        <w:numPr>
          <w:ilvl w:val="0"/>
          <w:numId w:val="3"/>
        </w:numPr>
        <w:jc w:val="both"/>
        <w:rPr>
          <w:b/>
          <w:sz w:val="28"/>
          <w:szCs w:val="28"/>
        </w:rPr>
      </w:pPr>
      <w:r w:rsidRPr="006C59A4">
        <w:rPr>
          <w:b/>
          <w:sz w:val="28"/>
          <w:szCs w:val="28"/>
        </w:rPr>
        <w:t>Zásobování požární vodou</w:t>
      </w:r>
    </w:p>
    <w:p w:rsidR="00EC5AA4" w:rsidRPr="006C59A4" w:rsidRDefault="00EC5AA4" w:rsidP="00EC5AA4">
      <w:pPr>
        <w:ind w:left="360"/>
        <w:jc w:val="both"/>
        <w:rPr>
          <w:b/>
        </w:rPr>
      </w:pPr>
    </w:p>
    <w:p w:rsidR="004C4567" w:rsidRPr="00935329" w:rsidRDefault="00B1315E" w:rsidP="004C4567">
      <w:pPr>
        <w:ind w:firstLine="708"/>
        <w:jc w:val="both"/>
      </w:pPr>
      <w:r>
        <w:t xml:space="preserve">CHÚC </w:t>
      </w:r>
      <w:r w:rsidR="004C4567">
        <w:t>A</w:t>
      </w:r>
      <w:r w:rsidR="00920463">
        <w:t xml:space="preserve"> bude vybavena vnitřním odběrním místem.</w:t>
      </w:r>
      <w:r w:rsidR="004C4567">
        <w:t xml:space="preserve"> B</w:t>
      </w:r>
      <w:r w:rsidR="004C4567" w:rsidRPr="00935329">
        <w:t xml:space="preserve">ude instalován vnitřní hydrantový systém typu D napojený na vnitřní vodovod. Bude se jednat o systém s tvarově stálou hadicí se jmenovitou světlostí hadice min. 19 mm, délka hadice 30 m. Vnitřní rozvod vody bude dimenzován tak, aby na nejnepříznivěji položeném přítokovém ventilu hadicového systému byl zajištěn přetlak (hydrodynamický) alespoň 0,2 </w:t>
      </w:r>
      <w:proofErr w:type="spellStart"/>
      <w:r w:rsidR="004C4567" w:rsidRPr="00935329">
        <w:t>MPa</w:t>
      </w:r>
      <w:proofErr w:type="spellEnd"/>
      <w:r w:rsidR="004C4567" w:rsidRPr="00935329">
        <w:t xml:space="preserve"> a současně průtok vody z uzavíratelné proudnice v množství alespoň Q = 0,3 l.s</w:t>
      </w:r>
      <w:r w:rsidR="004C4567" w:rsidRPr="00935329">
        <w:rPr>
          <w:vertAlign w:val="superscript"/>
        </w:rPr>
        <w:t>-1</w:t>
      </w:r>
      <w:r w:rsidR="004C4567" w:rsidRPr="00935329">
        <w:t xml:space="preserve">. </w:t>
      </w:r>
    </w:p>
    <w:p w:rsidR="00EC5AA4" w:rsidRDefault="00EC5AA4" w:rsidP="00CA69CD">
      <w:pPr>
        <w:spacing w:after="120"/>
        <w:ind w:firstLine="709"/>
        <w:jc w:val="both"/>
        <w:rPr>
          <w:b/>
        </w:rPr>
      </w:pPr>
      <w:r w:rsidRPr="001E37A8">
        <w:t xml:space="preserve">Jako vnější odběrní místo lze využít stávající odběrní místo na </w:t>
      </w:r>
      <w:r w:rsidR="00664B35" w:rsidRPr="001E37A8">
        <w:t>veřejném</w:t>
      </w:r>
      <w:r w:rsidR="002E5E54" w:rsidRPr="001E37A8">
        <w:t xml:space="preserve"> </w:t>
      </w:r>
      <w:r w:rsidRPr="001E37A8">
        <w:t>v</w:t>
      </w:r>
      <w:r w:rsidR="002E5E54" w:rsidRPr="001E37A8">
        <w:t>odovodním řadu</w:t>
      </w:r>
      <w:r w:rsidR="00CB5F4B" w:rsidRPr="001E37A8">
        <w:t xml:space="preserve"> na ulici </w:t>
      </w:r>
      <w:r w:rsidR="00920463" w:rsidRPr="001E37A8">
        <w:t>Plynárenská</w:t>
      </w:r>
      <w:r w:rsidR="007D753D" w:rsidRPr="001E37A8">
        <w:t xml:space="preserve"> – podzemní hydrant</w:t>
      </w:r>
      <w:r w:rsidR="00A462C2" w:rsidRPr="001E37A8">
        <w:t>,</w:t>
      </w:r>
      <w:r w:rsidRPr="001E37A8">
        <w:t xml:space="preserve"> které splňuje požadavky </w:t>
      </w:r>
      <w:r w:rsidR="00470CBB" w:rsidRPr="001E37A8">
        <w:t xml:space="preserve">Tab. 1 </w:t>
      </w:r>
      <w:proofErr w:type="spellStart"/>
      <w:r w:rsidR="00470CBB" w:rsidRPr="001E37A8">
        <w:t>pol</w:t>
      </w:r>
      <w:proofErr w:type="spellEnd"/>
      <w:r w:rsidR="00470CBB" w:rsidRPr="001E37A8">
        <w:t>. 1 (hydrant ve vzdálenosti max. 200 m</w:t>
      </w:r>
      <w:r w:rsidR="006069E0" w:rsidRPr="001E37A8">
        <w:t xml:space="preserve"> </w:t>
      </w:r>
      <w:r w:rsidR="001E37A8" w:rsidRPr="001E37A8">
        <w:t>– skutečnost cca 20</w:t>
      </w:r>
      <w:r w:rsidR="006069E0" w:rsidRPr="001E37A8">
        <w:t xml:space="preserve"> m</w:t>
      </w:r>
      <w:r w:rsidR="001E37A8" w:rsidRPr="001E37A8">
        <w:t xml:space="preserve">, před sousedním objektem na </w:t>
      </w:r>
      <w:proofErr w:type="spellStart"/>
      <w:proofErr w:type="gramStart"/>
      <w:r w:rsidR="001E37A8" w:rsidRPr="001E37A8">
        <w:t>p.č</w:t>
      </w:r>
      <w:proofErr w:type="spellEnd"/>
      <w:r w:rsidR="001E37A8" w:rsidRPr="001E37A8">
        <w:t>.</w:t>
      </w:r>
      <w:proofErr w:type="gramEnd"/>
      <w:r w:rsidR="001E37A8" w:rsidRPr="001E37A8">
        <w:t xml:space="preserve"> 874</w:t>
      </w:r>
      <w:r w:rsidR="00470CBB" w:rsidRPr="001E37A8">
        <w:t xml:space="preserve">) a Tab. 2 </w:t>
      </w:r>
      <w:proofErr w:type="spellStart"/>
      <w:r w:rsidR="00470CBB" w:rsidRPr="001E37A8">
        <w:t>pol</w:t>
      </w:r>
      <w:proofErr w:type="spellEnd"/>
      <w:r w:rsidR="00470CBB" w:rsidRPr="001E37A8">
        <w:t xml:space="preserve">. 1 </w:t>
      </w:r>
      <w:r w:rsidRPr="001E37A8">
        <w:t xml:space="preserve">ČSN 73 0873 </w:t>
      </w:r>
      <w:r w:rsidR="00664B35" w:rsidRPr="001E37A8">
        <w:t>(DN potrubí min 80 mm</w:t>
      </w:r>
      <w:r w:rsidR="00E540AB" w:rsidRPr="001E37A8">
        <w:t xml:space="preserve"> – skutečnos</w:t>
      </w:r>
      <w:r w:rsidR="001E37A8" w:rsidRPr="001E37A8">
        <w:t>t DN 150</w:t>
      </w:r>
      <w:r w:rsidR="00664B35" w:rsidRPr="001E37A8">
        <w:t>).</w:t>
      </w:r>
      <w:r w:rsidR="007D753D" w:rsidRPr="001E37A8">
        <w:t xml:space="preserve"> </w:t>
      </w:r>
      <w:r w:rsidR="00377C42" w:rsidRPr="001E37A8">
        <w:rPr>
          <w:b/>
        </w:rPr>
        <w:t>Vyhovuje.</w:t>
      </w:r>
    </w:p>
    <w:p w:rsidR="00E12C05" w:rsidRPr="001E37A8" w:rsidRDefault="00E12C05" w:rsidP="00CA69CD">
      <w:pPr>
        <w:spacing w:after="120"/>
        <w:ind w:firstLine="709"/>
        <w:jc w:val="both"/>
      </w:pPr>
    </w:p>
    <w:p w:rsidR="00227FB7" w:rsidRDefault="00227FB7" w:rsidP="00A54219">
      <w:pPr>
        <w:numPr>
          <w:ilvl w:val="0"/>
          <w:numId w:val="3"/>
        </w:numPr>
        <w:jc w:val="both"/>
        <w:rPr>
          <w:b/>
          <w:sz w:val="28"/>
          <w:szCs w:val="28"/>
        </w:rPr>
      </w:pPr>
      <w:r>
        <w:rPr>
          <w:b/>
          <w:sz w:val="28"/>
          <w:szCs w:val="28"/>
        </w:rPr>
        <w:t>Nouzové osvětlení</w:t>
      </w:r>
    </w:p>
    <w:p w:rsidR="00227FB7" w:rsidRDefault="00227FB7" w:rsidP="00227FB7">
      <w:pPr>
        <w:jc w:val="both"/>
        <w:rPr>
          <w:b/>
          <w:sz w:val="28"/>
          <w:szCs w:val="28"/>
        </w:rPr>
      </w:pPr>
    </w:p>
    <w:p w:rsidR="00227FB7" w:rsidRDefault="00227FB7" w:rsidP="00227FB7">
      <w:pPr>
        <w:ind w:firstLine="708"/>
        <w:jc w:val="both"/>
      </w:pPr>
      <w:r w:rsidRPr="00227FB7">
        <w:t xml:space="preserve">CHÚC A, která je také vnitřní zásahovou cestou, </w:t>
      </w:r>
      <w:proofErr w:type="gramStart"/>
      <w:r w:rsidRPr="00227FB7">
        <w:t>bude</w:t>
      </w:r>
      <w:proofErr w:type="gramEnd"/>
      <w:r w:rsidRPr="00227FB7">
        <w:t xml:space="preserve"> vybavena nouzovým osvětlením funkčním po dobu 60 min.</w:t>
      </w:r>
      <w:r>
        <w:t xml:space="preserve"> Nouzové osvětlení </w:t>
      </w:r>
      <w:proofErr w:type="gramStart"/>
      <w:r>
        <w:t>bude</w:t>
      </w:r>
      <w:proofErr w:type="gramEnd"/>
      <w:r>
        <w:t xml:space="preserve"> navrženo podle ČSN EN 1838. Jsou navržena svítidla s vlastním náhradním zdrojem.</w:t>
      </w:r>
    </w:p>
    <w:p w:rsidR="00227FB7" w:rsidRPr="00227FB7" w:rsidRDefault="00227FB7" w:rsidP="00227FB7">
      <w:pPr>
        <w:ind w:firstLine="708"/>
        <w:jc w:val="both"/>
      </w:pPr>
    </w:p>
    <w:p w:rsidR="00227FB7" w:rsidRPr="00227FB7" w:rsidRDefault="00227FB7" w:rsidP="00227FB7">
      <w:pPr>
        <w:ind w:left="360"/>
        <w:jc w:val="both"/>
        <w:rPr>
          <w:b/>
          <w:sz w:val="28"/>
          <w:szCs w:val="28"/>
        </w:rPr>
      </w:pPr>
    </w:p>
    <w:p w:rsidR="00607766" w:rsidRPr="006C59A4" w:rsidRDefault="00607766" w:rsidP="00A54219">
      <w:pPr>
        <w:numPr>
          <w:ilvl w:val="0"/>
          <w:numId w:val="3"/>
        </w:numPr>
        <w:jc w:val="both"/>
        <w:rPr>
          <w:b/>
          <w:sz w:val="28"/>
          <w:szCs w:val="28"/>
        </w:rPr>
      </w:pPr>
      <w:r w:rsidRPr="006C59A4">
        <w:rPr>
          <w:b/>
          <w:sz w:val="28"/>
        </w:rPr>
        <w:t>Přenosné hasicí přístroje</w:t>
      </w:r>
    </w:p>
    <w:p w:rsidR="009917A7" w:rsidRPr="006C59A4" w:rsidRDefault="009917A7" w:rsidP="009917A7">
      <w:pPr>
        <w:ind w:left="180"/>
        <w:jc w:val="both"/>
        <w:rPr>
          <w:sz w:val="28"/>
        </w:rPr>
      </w:pPr>
    </w:p>
    <w:p w:rsidR="001C2453" w:rsidRPr="00227FB7" w:rsidRDefault="001E37A8" w:rsidP="003C634F">
      <w:pPr>
        <w:ind w:firstLine="708"/>
        <w:jc w:val="both"/>
      </w:pPr>
      <w:r w:rsidRPr="00227FB7">
        <w:t>Objekt bude vybaven přenosnými hasicími přístroji v souladu s čl. 5.4 ČSN 73 0833:</w:t>
      </w:r>
    </w:p>
    <w:p w:rsidR="001E37A8" w:rsidRPr="00BE16BB" w:rsidRDefault="001E37A8" w:rsidP="001E37A8">
      <w:pPr>
        <w:pStyle w:val="nadpis2"/>
        <w:numPr>
          <w:ilvl w:val="0"/>
          <w:numId w:val="15"/>
        </w:numPr>
        <w:spacing w:before="0"/>
        <w:ind w:left="284" w:hanging="284"/>
        <w:rPr>
          <w:b w:val="0"/>
        </w:rPr>
      </w:pPr>
      <w:r w:rsidRPr="00BE16BB">
        <w:rPr>
          <w:b w:val="0"/>
        </w:rPr>
        <w:t>1 ks PHP práškový s hasící schopnost</w:t>
      </w:r>
      <w:r w:rsidR="003A1F1B">
        <w:rPr>
          <w:b w:val="0"/>
        </w:rPr>
        <w:t>í 21A pro hlavní domovní rozvadě</w:t>
      </w:r>
      <w:r w:rsidRPr="00BE16BB">
        <w:rPr>
          <w:b w:val="0"/>
        </w:rPr>
        <w:t xml:space="preserve">č el. </w:t>
      </w:r>
      <w:proofErr w:type="gramStart"/>
      <w:r w:rsidRPr="00BE16BB">
        <w:rPr>
          <w:b w:val="0"/>
        </w:rPr>
        <w:t>energie</w:t>
      </w:r>
      <w:proofErr w:type="gramEnd"/>
      <w:r w:rsidRPr="00BE16BB">
        <w:rPr>
          <w:b w:val="0"/>
        </w:rPr>
        <w:t>,</w:t>
      </w:r>
    </w:p>
    <w:p w:rsidR="00227FB7" w:rsidRPr="00227FB7" w:rsidRDefault="001E37A8" w:rsidP="00227FB7">
      <w:pPr>
        <w:pStyle w:val="nadpis2"/>
        <w:numPr>
          <w:ilvl w:val="0"/>
          <w:numId w:val="15"/>
        </w:numPr>
        <w:spacing w:before="0"/>
        <w:ind w:left="284" w:hanging="284"/>
        <w:rPr>
          <w:b w:val="0"/>
        </w:rPr>
      </w:pPr>
      <w:r w:rsidRPr="00BE16BB">
        <w:rPr>
          <w:b w:val="0"/>
        </w:rPr>
        <w:t>1 ks PHP práškový s hasící schopností 21A na každých započatých 100 m</w:t>
      </w:r>
      <w:r w:rsidRPr="00BE16BB">
        <w:rPr>
          <w:b w:val="0"/>
          <w:vertAlign w:val="superscript"/>
        </w:rPr>
        <w:t>2</w:t>
      </w:r>
      <w:r w:rsidRPr="00BE16BB">
        <w:rPr>
          <w:b w:val="0"/>
        </w:rPr>
        <w:t xml:space="preserve"> půdorysné plochy prostor určených pro skladování (1 ks</w:t>
      </w:r>
      <w:r w:rsidR="00227FB7">
        <w:rPr>
          <w:b w:val="0"/>
        </w:rPr>
        <w:t xml:space="preserve"> stávající </w:t>
      </w:r>
      <w:proofErr w:type="gramStart"/>
      <w:r w:rsidR="00227FB7">
        <w:rPr>
          <w:b w:val="0"/>
        </w:rPr>
        <w:t>prostory 1.PP</w:t>
      </w:r>
      <w:proofErr w:type="gramEnd"/>
      <w:r w:rsidRPr="00BE16BB">
        <w:rPr>
          <w:b w:val="0"/>
        </w:rPr>
        <w:t>),</w:t>
      </w:r>
    </w:p>
    <w:p w:rsidR="001E37A8" w:rsidRDefault="001E37A8" w:rsidP="001E37A8">
      <w:pPr>
        <w:pStyle w:val="nadpis2"/>
        <w:numPr>
          <w:ilvl w:val="0"/>
          <w:numId w:val="15"/>
        </w:numPr>
        <w:spacing w:before="0"/>
        <w:ind w:left="284" w:hanging="284"/>
        <w:rPr>
          <w:b w:val="0"/>
        </w:rPr>
      </w:pPr>
      <w:r w:rsidRPr="00BE16BB">
        <w:rPr>
          <w:b w:val="0"/>
        </w:rPr>
        <w:t xml:space="preserve">1 ks PHP práškový s hasící schopností 21A na </w:t>
      </w:r>
      <w:r w:rsidR="00227FB7">
        <w:rPr>
          <w:b w:val="0"/>
        </w:rPr>
        <w:t>každé podestě 1. – 5.NP,</w:t>
      </w:r>
    </w:p>
    <w:p w:rsidR="00227FB7" w:rsidRDefault="00227FB7" w:rsidP="00227FB7">
      <w:pPr>
        <w:pStyle w:val="nadpis2"/>
        <w:numPr>
          <w:ilvl w:val="0"/>
          <w:numId w:val="0"/>
        </w:numPr>
        <w:spacing w:before="0"/>
        <w:rPr>
          <w:b w:val="0"/>
        </w:rPr>
      </w:pPr>
    </w:p>
    <w:p w:rsidR="00227FB7" w:rsidRDefault="00227FB7" w:rsidP="00227FB7">
      <w:pPr>
        <w:pStyle w:val="nadpis2"/>
        <w:numPr>
          <w:ilvl w:val="0"/>
          <w:numId w:val="0"/>
        </w:numPr>
        <w:spacing w:before="0"/>
        <w:rPr>
          <w:b w:val="0"/>
        </w:rPr>
      </w:pPr>
      <w:r>
        <w:rPr>
          <w:b w:val="0"/>
        </w:rPr>
        <w:t>Dále bude 1 ks PHP s hasící schopností 21A umístěn do P 1.01 – předávací stanice tepla.</w:t>
      </w:r>
    </w:p>
    <w:p w:rsidR="001E37A8" w:rsidRPr="00B02ECC" w:rsidRDefault="001E37A8" w:rsidP="003C634F">
      <w:pPr>
        <w:ind w:firstLine="708"/>
        <w:jc w:val="both"/>
        <w:rPr>
          <w:color w:val="FF0000"/>
        </w:rPr>
      </w:pPr>
    </w:p>
    <w:p w:rsidR="00664B35" w:rsidRPr="006C59A4" w:rsidRDefault="00664B35" w:rsidP="003C634F">
      <w:pPr>
        <w:ind w:firstLine="708"/>
        <w:jc w:val="both"/>
      </w:pPr>
    </w:p>
    <w:p w:rsidR="00845176" w:rsidRPr="006C59A4" w:rsidRDefault="00845176" w:rsidP="00A54219">
      <w:pPr>
        <w:numPr>
          <w:ilvl w:val="0"/>
          <w:numId w:val="3"/>
        </w:numPr>
        <w:jc w:val="both"/>
        <w:rPr>
          <w:b/>
          <w:sz w:val="28"/>
          <w:szCs w:val="28"/>
        </w:rPr>
      </w:pPr>
      <w:r w:rsidRPr="006C59A4">
        <w:rPr>
          <w:b/>
          <w:sz w:val="28"/>
        </w:rPr>
        <w:t>Zařízení autonomní detekce a signalizace</w:t>
      </w:r>
    </w:p>
    <w:p w:rsidR="00607766" w:rsidRPr="006C59A4" w:rsidRDefault="00607766" w:rsidP="00607766">
      <w:pPr>
        <w:jc w:val="both"/>
        <w:rPr>
          <w:b/>
          <w:sz w:val="28"/>
        </w:rPr>
      </w:pPr>
    </w:p>
    <w:p w:rsidR="0062139D" w:rsidRDefault="00A462C2" w:rsidP="00845176">
      <w:pPr>
        <w:ind w:firstLine="709"/>
        <w:jc w:val="both"/>
      </w:pPr>
      <w:r w:rsidRPr="00227FB7">
        <w:t xml:space="preserve">V souladu s čl. 5.5 ČSN 73 0833 bude každá obytná buňka </w:t>
      </w:r>
      <w:r w:rsidR="00CF435A" w:rsidRPr="00227FB7">
        <w:t>vybavena zařízením a</w:t>
      </w:r>
      <w:r w:rsidR="00920463" w:rsidRPr="00227FB7">
        <w:t>utonomní detekce a signalizace.</w:t>
      </w:r>
      <w:r w:rsidR="00227FB7">
        <w:t xml:space="preserve"> Doporučené umístění ve vstupní chodbě každého bytu.</w:t>
      </w:r>
    </w:p>
    <w:p w:rsidR="003E7532" w:rsidRDefault="003E7532" w:rsidP="00845176">
      <w:pPr>
        <w:ind w:firstLine="709"/>
        <w:jc w:val="both"/>
      </w:pPr>
    </w:p>
    <w:p w:rsidR="008A5018" w:rsidRPr="00227FB7" w:rsidRDefault="008A5018" w:rsidP="00845176">
      <w:pPr>
        <w:ind w:firstLine="709"/>
        <w:jc w:val="both"/>
      </w:pPr>
    </w:p>
    <w:p w:rsidR="003E7532" w:rsidRPr="006C59A4" w:rsidRDefault="003E7532" w:rsidP="003E7532">
      <w:pPr>
        <w:numPr>
          <w:ilvl w:val="0"/>
          <w:numId w:val="3"/>
        </w:numPr>
        <w:jc w:val="both"/>
        <w:rPr>
          <w:b/>
          <w:sz w:val="28"/>
          <w:szCs w:val="28"/>
        </w:rPr>
      </w:pPr>
      <w:r>
        <w:rPr>
          <w:b/>
          <w:sz w:val="28"/>
          <w:szCs w:val="28"/>
        </w:rPr>
        <w:t xml:space="preserve"> </w:t>
      </w:r>
      <w:r>
        <w:rPr>
          <w:b/>
          <w:sz w:val="28"/>
        </w:rPr>
        <w:t>Evakuační výtah</w:t>
      </w:r>
    </w:p>
    <w:p w:rsidR="003E7532" w:rsidRPr="006C59A4" w:rsidRDefault="003E7532" w:rsidP="003E7532">
      <w:pPr>
        <w:jc w:val="both"/>
        <w:rPr>
          <w:b/>
          <w:sz w:val="28"/>
        </w:rPr>
      </w:pPr>
    </w:p>
    <w:p w:rsidR="003E7532" w:rsidRDefault="003E7532" w:rsidP="003E7532">
      <w:pPr>
        <w:ind w:firstLine="709"/>
        <w:jc w:val="both"/>
      </w:pPr>
      <w:r>
        <w:t xml:space="preserve">V souladu s čl. 5.3.5 ČSN 73 0833 musí být objekt vybaven evakuačním výtahem, neboť se uvažují obytné buňky pro osoby s omezenou schopností pohybu ve výšce větší než 6 </w:t>
      </w:r>
      <w:r>
        <w:lastRenderedPageBreak/>
        <w:t>m. Za vyhovující lze považovat evakuační výtah splňující požadavky podle 9.6.5 ČSN 73 0802</w:t>
      </w:r>
      <w:r w:rsidR="002A0191">
        <w:t>. Výtah musí:</w:t>
      </w:r>
    </w:p>
    <w:p w:rsidR="002A0191" w:rsidRDefault="002A0191" w:rsidP="003E7532">
      <w:pPr>
        <w:pStyle w:val="Odstavecseseznamem"/>
        <w:numPr>
          <w:ilvl w:val="0"/>
          <w:numId w:val="16"/>
        </w:numPr>
        <w:ind w:left="284" w:hanging="295"/>
        <w:jc w:val="both"/>
      </w:pPr>
      <w:r>
        <w:t>být</w:t>
      </w:r>
      <w:r w:rsidR="003E7532">
        <w:t xml:space="preserve"> z výrobků třídy reakce na oheň A1 nebo A2, velikosti nejméně </w:t>
      </w:r>
      <w:r>
        <w:t xml:space="preserve">1,1 x 1,4 m (změna stavby), nosnost nejméně 5 </w:t>
      </w:r>
      <w:proofErr w:type="spellStart"/>
      <w:r>
        <w:t>kN</w:t>
      </w:r>
      <w:proofErr w:type="spellEnd"/>
      <w:r>
        <w:t>,</w:t>
      </w:r>
    </w:p>
    <w:p w:rsidR="002A0191" w:rsidRDefault="002A0191" w:rsidP="003E7532">
      <w:pPr>
        <w:pStyle w:val="Odstavecseseznamem"/>
        <w:numPr>
          <w:ilvl w:val="0"/>
          <w:numId w:val="16"/>
        </w:numPr>
        <w:ind w:left="284" w:hanging="295"/>
        <w:jc w:val="both"/>
      </w:pPr>
      <w:r>
        <w:t xml:space="preserve">musí být mít zajištěnou dodávku el. </w:t>
      </w:r>
      <w:proofErr w:type="gramStart"/>
      <w:r>
        <w:t>energie</w:t>
      </w:r>
      <w:proofErr w:type="gramEnd"/>
      <w:r>
        <w:t xml:space="preserve"> nejméně po dobu 45 minut,</w:t>
      </w:r>
    </w:p>
    <w:p w:rsidR="002A0191" w:rsidRDefault="002A0191" w:rsidP="003E7532">
      <w:pPr>
        <w:pStyle w:val="Odstavecseseznamem"/>
        <w:numPr>
          <w:ilvl w:val="0"/>
          <w:numId w:val="16"/>
        </w:numPr>
        <w:ind w:left="284" w:hanging="295"/>
        <w:jc w:val="both"/>
      </w:pPr>
      <w:r>
        <w:t>mít takovou jmenovitou rychlost, aby doba jedné jízdy do nejvýše umístěného užitného podlaží nepřesáhla 2,5 minuty,</w:t>
      </w:r>
    </w:p>
    <w:p w:rsidR="002A0191" w:rsidRDefault="002A0191" w:rsidP="003E7532">
      <w:pPr>
        <w:pStyle w:val="Odstavecseseznamem"/>
        <w:numPr>
          <w:ilvl w:val="0"/>
          <w:numId w:val="16"/>
        </w:numPr>
        <w:ind w:left="284" w:hanging="295"/>
        <w:jc w:val="both"/>
      </w:pPr>
      <w:r>
        <w:t>v případě ohrožení objektu požárem umožnit sjetí klece do určitě stanice přivoláním pomocí klíčového spínače, výtah musí být vyřazen z normálního provozu a být připraven pro evakuaci pomocí zvláštního ovládání výtahové klece,</w:t>
      </w:r>
    </w:p>
    <w:p w:rsidR="002A0191" w:rsidRDefault="002A0191" w:rsidP="003E7532">
      <w:pPr>
        <w:pStyle w:val="Odstavecseseznamem"/>
        <w:numPr>
          <w:ilvl w:val="0"/>
          <w:numId w:val="16"/>
        </w:numPr>
        <w:ind w:left="284" w:hanging="295"/>
        <w:jc w:val="both"/>
      </w:pPr>
      <w:r>
        <w:t>v prostoru CHÚC v 1.NP musí být instalován klíčový trezor požární ochrany.</w:t>
      </w:r>
    </w:p>
    <w:p w:rsidR="002A0191" w:rsidRDefault="002A0191" w:rsidP="002A0191">
      <w:pPr>
        <w:jc w:val="both"/>
      </w:pPr>
    </w:p>
    <w:p w:rsidR="00E12C05" w:rsidRDefault="002A0191" w:rsidP="00E12C05">
      <w:pPr>
        <w:ind w:firstLine="708"/>
        <w:jc w:val="both"/>
      </w:pPr>
      <w:r>
        <w:t>Evakuační výtah tvoří samostatný požární úsek, dveře výtahu ústí do požárního úseku bez požárního rizika (CHÚC A) s dostatečným manipulačním prostorem. Prostor šachty evakuačního výtahu bude zajištěn proti proniku kouře z požáru v kterékoli části objektu zvýšeným tlakem vzduchu v šachtě. Výtah bude označen tabulkami „Evakuační výtah“ a to v kabině výtahu a na vnější straně dveří výtahové šachty.</w:t>
      </w:r>
    </w:p>
    <w:p w:rsidR="003E7532" w:rsidRDefault="002A0191" w:rsidP="002A0191">
      <w:pPr>
        <w:jc w:val="both"/>
      </w:pPr>
      <w:r>
        <w:t xml:space="preserve">  </w:t>
      </w:r>
      <w:r w:rsidR="00E12C05">
        <w:tab/>
      </w:r>
    </w:p>
    <w:p w:rsidR="00E12C05" w:rsidRPr="00227FB7" w:rsidRDefault="00E12C05" w:rsidP="00E12C05">
      <w:pPr>
        <w:jc w:val="both"/>
      </w:pPr>
      <w:r>
        <w:t>Náhradní zdroj bude umístěn v </w:t>
      </w:r>
      <w:proofErr w:type="gramStart"/>
      <w:r>
        <w:t>místnosti v 1.PP</w:t>
      </w:r>
      <w:proofErr w:type="gramEnd"/>
      <w:r>
        <w:t xml:space="preserve"> vedle výtahové šachty. Jedná se o sestavu rozvaděče s bateriemi RGB a rozvaděče RPO s jištěním zálohovaných vývodů. Rozvaděče budou tvořit samostatný požární úsek, oba jsou v provedení EI45 DP1-S. Místnost, ve které budou rozvaděče umístěny</w:t>
      </w:r>
      <w:r w:rsidR="008C6E94">
        <w:t>,</w:t>
      </w:r>
      <w:r>
        <w:t xml:space="preserve"> tedy nebude tvořit samostatný požární úsek.</w:t>
      </w:r>
    </w:p>
    <w:p w:rsidR="00921ADB" w:rsidRDefault="00921ADB" w:rsidP="00B95D3D">
      <w:pPr>
        <w:ind w:left="360"/>
        <w:jc w:val="both"/>
        <w:rPr>
          <w:b/>
          <w:sz w:val="28"/>
          <w:szCs w:val="28"/>
        </w:rPr>
      </w:pPr>
    </w:p>
    <w:p w:rsidR="00E12C41" w:rsidRPr="006C59A4" w:rsidRDefault="00E12C41" w:rsidP="00B95D3D">
      <w:pPr>
        <w:ind w:left="360"/>
        <w:jc w:val="both"/>
        <w:rPr>
          <w:b/>
          <w:sz w:val="28"/>
          <w:szCs w:val="28"/>
        </w:rPr>
      </w:pPr>
    </w:p>
    <w:p w:rsidR="00EC33F5" w:rsidRPr="006C59A4" w:rsidRDefault="00EC33F5" w:rsidP="00A54219">
      <w:pPr>
        <w:numPr>
          <w:ilvl w:val="0"/>
          <w:numId w:val="3"/>
        </w:numPr>
        <w:jc w:val="both"/>
        <w:rPr>
          <w:b/>
          <w:sz w:val="28"/>
          <w:szCs w:val="28"/>
        </w:rPr>
      </w:pPr>
      <w:r w:rsidRPr="006C59A4">
        <w:rPr>
          <w:b/>
          <w:sz w:val="28"/>
        </w:rPr>
        <w:t>Technická zařízení</w:t>
      </w:r>
    </w:p>
    <w:p w:rsidR="00511D2B" w:rsidRDefault="00511D2B" w:rsidP="00511D2B">
      <w:pPr>
        <w:ind w:left="360"/>
        <w:jc w:val="both"/>
        <w:rPr>
          <w:b/>
          <w:sz w:val="28"/>
          <w:szCs w:val="28"/>
        </w:rPr>
      </w:pPr>
    </w:p>
    <w:p w:rsidR="00CA69CD" w:rsidRPr="006C59A4" w:rsidRDefault="00CA69CD" w:rsidP="00511D2B">
      <w:pPr>
        <w:ind w:left="360"/>
        <w:jc w:val="both"/>
        <w:rPr>
          <w:b/>
          <w:sz w:val="28"/>
          <w:szCs w:val="28"/>
        </w:rPr>
      </w:pPr>
    </w:p>
    <w:p w:rsidR="00511D2B" w:rsidRPr="006C59A4" w:rsidRDefault="00EC33F5" w:rsidP="00CA69CD">
      <w:pPr>
        <w:numPr>
          <w:ilvl w:val="0"/>
          <w:numId w:val="11"/>
        </w:numPr>
        <w:ind w:left="1134" w:hanging="1134"/>
        <w:jc w:val="both"/>
        <w:rPr>
          <w:b/>
        </w:rPr>
      </w:pPr>
      <w:r w:rsidRPr="006C59A4">
        <w:rPr>
          <w:b/>
        </w:rPr>
        <w:t>Vytápění</w:t>
      </w:r>
    </w:p>
    <w:p w:rsidR="00EC33F5" w:rsidRPr="006C59A4" w:rsidRDefault="00EC33F5" w:rsidP="0062139D">
      <w:pPr>
        <w:jc w:val="both"/>
        <w:rPr>
          <w:b/>
          <w:sz w:val="28"/>
        </w:rPr>
      </w:pPr>
    </w:p>
    <w:p w:rsidR="003A1F1B" w:rsidRDefault="00371E13" w:rsidP="003A1F1B">
      <w:pPr>
        <w:ind w:firstLine="709"/>
        <w:jc w:val="both"/>
      </w:pPr>
      <w:r>
        <w:t>Vytápění jednotlivých bytů je navrženo teplovodní se zdrojem tepla v předávací stanici tepla.</w:t>
      </w:r>
    </w:p>
    <w:p w:rsidR="003A1F1B" w:rsidRPr="008A018D" w:rsidRDefault="003A1F1B" w:rsidP="003A1F1B">
      <w:pPr>
        <w:ind w:firstLine="709"/>
        <w:jc w:val="both"/>
      </w:pPr>
      <w:r w:rsidRPr="008A018D">
        <w:t>Od všech lokálních tepelných spotřebičů budou zajištěny bezpečné vzdálenosti v souladu s návodem výrobce nebo normou ČSN 06 1008 – Požární bezpečnost tepelných zařízení.</w:t>
      </w:r>
    </w:p>
    <w:p w:rsidR="00BE030D" w:rsidRDefault="00BE030D" w:rsidP="00B342B7">
      <w:pPr>
        <w:ind w:firstLine="709"/>
        <w:jc w:val="both"/>
      </w:pPr>
    </w:p>
    <w:p w:rsidR="00B26431" w:rsidRPr="006C59A4" w:rsidRDefault="00B26431" w:rsidP="00CA69CD">
      <w:pPr>
        <w:numPr>
          <w:ilvl w:val="0"/>
          <w:numId w:val="11"/>
        </w:numPr>
        <w:ind w:left="1134" w:hanging="1134"/>
        <w:jc w:val="both"/>
        <w:rPr>
          <w:b/>
        </w:rPr>
      </w:pPr>
      <w:r w:rsidRPr="006C59A4">
        <w:rPr>
          <w:b/>
        </w:rPr>
        <w:t>Elektroinstalace</w:t>
      </w:r>
    </w:p>
    <w:p w:rsidR="00B26431" w:rsidRPr="006C59A4" w:rsidRDefault="00B26431" w:rsidP="00E27132">
      <w:pPr>
        <w:jc w:val="both"/>
      </w:pPr>
    </w:p>
    <w:p w:rsidR="003001FF" w:rsidRDefault="003001FF" w:rsidP="003001FF">
      <w:pPr>
        <w:ind w:firstLine="708"/>
        <w:jc w:val="both"/>
      </w:pPr>
      <w:r>
        <w:t xml:space="preserve">Všechny prvky elektroinstalace budou navrženy dle vnějších </w:t>
      </w:r>
      <w:proofErr w:type="gramStart"/>
      <w:r>
        <w:t>vlivů  (ČSN</w:t>
      </w:r>
      <w:proofErr w:type="gramEnd"/>
      <w:r>
        <w:t xml:space="preserve"> 33 2000) a dalších souvisejících norem.</w:t>
      </w:r>
    </w:p>
    <w:p w:rsidR="003001FF" w:rsidRDefault="003001FF" w:rsidP="003001FF">
      <w:pPr>
        <w:jc w:val="both"/>
      </w:pPr>
      <w:r>
        <w:tab/>
        <w:t xml:space="preserve">Kabelové trasy musí být navrženy tak, aby bylo zajištěno bezpečné vypnutí elektrické energie v objektu a tím zajištěn účinný a bezpečný zásah JPO. </w:t>
      </w:r>
    </w:p>
    <w:p w:rsidR="003001FF" w:rsidRDefault="003001FF" w:rsidP="003001FF">
      <w:pPr>
        <w:ind w:firstLine="708"/>
        <w:jc w:val="both"/>
      </w:pPr>
      <w:r>
        <w:t xml:space="preserve">V případě nutnosti musí být umožněno centrální vypnutí těch elektrických zařízení v objektu, jejichž funkčnost není nutná při požáru – tlačítkem </w:t>
      </w:r>
      <w:r w:rsidR="00E12C05">
        <w:t>CENTRAL</w:t>
      </w:r>
      <w:r>
        <w:t xml:space="preserve"> STOP v s</w:t>
      </w:r>
      <w:r w:rsidR="00E12C05">
        <w:t>ouladu s čl. 4.5.1 ČSN 73 0848 a</w:t>
      </w:r>
      <w:r w:rsidR="007D061B">
        <w:t xml:space="preserve"> dále</w:t>
      </w:r>
      <w:r w:rsidR="00E12C05">
        <w:t xml:space="preserve"> tlačítkem TOTAL STOP vypnutí všech elektrických zařízení včetně zařízení sloužících k požární bezpečnosti</w:t>
      </w:r>
      <w:r w:rsidR="007D061B">
        <w:t xml:space="preserve"> stavby</w:t>
      </w:r>
      <w:r w:rsidR="00E12C05">
        <w:t xml:space="preserve">. </w:t>
      </w:r>
      <w:r>
        <w:t xml:space="preserve">Kabelové trasy pro ovládání </w:t>
      </w:r>
      <w:r w:rsidR="00E12C05">
        <w:t>CENTRAL a TOTAL</w:t>
      </w:r>
      <w:r>
        <w:t xml:space="preserve"> STOP musí splňovat požadavky na kabelové tras</w:t>
      </w:r>
      <w:r w:rsidR="00E12C05">
        <w:t>y s funkční integritou</w:t>
      </w:r>
      <w:r w:rsidR="007D061B">
        <w:t xml:space="preserve"> (45 min)</w:t>
      </w:r>
      <w:r w:rsidR="00E12C05">
        <w:t>. Tlačítka</w:t>
      </w:r>
      <w:r>
        <w:t xml:space="preserve"> CENTRAL </w:t>
      </w:r>
      <w:r w:rsidR="00E7556D">
        <w:t xml:space="preserve">a TOTAL </w:t>
      </w:r>
      <w:r w:rsidR="003A1F1B">
        <w:t xml:space="preserve">STOP </w:t>
      </w:r>
      <w:r w:rsidR="00E7556D">
        <w:t>budou</w:t>
      </w:r>
      <w:r>
        <w:t xml:space="preserve"> označen</w:t>
      </w:r>
      <w:r w:rsidR="007D061B">
        <w:t>a</w:t>
      </w:r>
      <w:r>
        <w:t xml:space="preserve"> textovou tabulkou v souladu s čl. 4.1.6 ČSN 73 0848 </w:t>
      </w:r>
      <w:r w:rsidR="00E7556D">
        <w:t>a budou umístěna</w:t>
      </w:r>
      <w:r>
        <w:t xml:space="preserve"> do max. vzdálenosti 5 m od vstupu do objektu v CHÚC A / vnitřní zásahové cestě.</w:t>
      </w:r>
    </w:p>
    <w:p w:rsidR="00B26431" w:rsidRDefault="00B342B7" w:rsidP="00CA69CD">
      <w:pPr>
        <w:numPr>
          <w:ilvl w:val="0"/>
          <w:numId w:val="11"/>
        </w:numPr>
        <w:ind w:left="1134" w:hanging="1134"/>
        <w:jc w:val="both"/>
        <w:rPr>
          <w:b/>
        </w:rPr>
      </w:pPr>
      <w:proofErr w:type="spellStart"/>
      <w:r w:rsidRPr="004F2C16">
        <w:rPr>
          <w:b/>
        </w:rPr>
        <w:lastRenderedPageBreak/>
        <w:t>Plynoinstalace</w:t>
      </w:r>
      <w:proofErr w:type="spellEnd"/>
    </w:p>
    <w:p w:rsidR="003A1F1B" w:rsidRDefault="003A1F1B" w:rsidP="003A1F1B">
      <w:pPr>
        <w:ind w:left="1134"/>
        <w:jc w:val="both"/>
        <w:rPr>
          <w:b/>
        </w:rPr>
      </w:pPr>
    </w:p>
    <w:p w:rsidR="003001FF" w:rsidRPr="003001FF" w:rsidRDefault="003001FF" w:rsidP="003001FF">
      <w:pPr>
        <w:ind w:left="708"/>
        <w:jc w:val="both"/>
      </w:pPr>
      <w:r w:rsidRPr="003001FF">
        <w:t xml:space="preserve">V objektu není navržena </w:t>
      </w:r>
      <w:proofErr w:type="spellStart"/>
      <w:r w:rsidRPr="003001FF">
        <w:t>plynoinstalace</w:t>
      </w:r>
      <w:proofErr w:type="spellEnd"/>
      <w:r w:rsidRPr="003001FF">
        <w:t>.</w:t>
      </w:r>
    </w:p>
    <w:p w:rsidR="003001FF" w:rsidRDefault="003001FF" w:rsidP="003001FF">
      <w:pPr>
        <w:jc w:val="both"/>
        <w:rPr>
          <w:b/>
        </w:rPr>
      </w:pPr>
    </w:p>
    <w:p w:rsidR="003001FF" w:rsidRPr="003001FF" w:rsidRDefault="003001FF" w:rsidP="003001FF">
      <w:pPr>
        <w:numPr>
          <w:ilvl w:val="0"/>
          <w:numId w:val="11"/>
        </w:numPr>
        <w:ind w:left="1134" w:hanging="1134"/>
        <w:jc w:val="both"/>
        <w:rPr>
          <w:b/>
        </w:rPr>
      </w:pPr>
      <w:r w:rsidRPr="003001FF">
        <w:rPr>
          <w:b/>
        </w:rPr>
        <w:t>Větrání</w:t>
      </w:r>
    </w:p>
    <w:p w:rsidR="003001FF" w:rsidRDefault="003001FF" w:rsidP="003001FF">
      <w:pPr>
        <w:jc w:val="both"/>
      </w:pPr>
    </w:p>
    <w:p w:rsidR="00AB24E8" w:rsidRDefault="003001FF" w:rsidP="00AB24E8">
      <w:pPr>
        <w:pStyle w:val="Zpat"/>
        <w:tabs>
          <w:tab w:val="clear" w:pos="4536"/>
          <w:tab w:val="clear" w:pos="9072"/>
        </w:tabs>
        <w:ind w:firstLine="708"/>
        <w:jc w:val="both"/>
      </w:pPr>
      <w:r>
        <w:t xml:space="preserve">Větrání obytných místností jednotlivých bytů </w:t>
      </w:r>
      <w:r w:rsidR="00AB24E8">
        <w:t>je přirozené, odtahy z digestoří, WC a koupelen jsou napojeny na VZT potrubí</w:t>
      </w:r>
      <w:r w:rsidR="00A51456">
        <w:t xml:space="preserve"> ¢ 180 mm (průřez 25 446 mm</w:t>
      </w:r>
      <w:r w:rsidR="00A51456">
        <w:rPr>
          <w:vertAlign w:val="superscript"/>
        </w:rPr>
        <w:t>2</w:t>
      </w:r>
      <w:r w:rsidR="00A51456">
        <w:t>),</w:t>
      </w:r>
      <w:r w:rsidR="00AB24E8">
        <w:t xml:space="preserve"> navržené v instalačních šachtách. </w:t>
      </w:r>
      <w:r w:rsidR="009D7BB2">
        <w:t xml:space="preserve">Potrubí je vyvedeno nad střechu objektu. </w:t>
      </w:r>
      <w:r w:rsidR="00AB24E8">
        <w:t>Toto potrubí bude navrženo tak, aby nebylo nutno je osazovat požárními klapkami, tedy bude splňovat požadavky čl. 4.2.1 ČSN 73 0872.</w:t>
      </w:r>
      <w:r>
        <w:t xml:space="preserve"> </w:t>
      </w:r>
      <w:r w:rsidR="00A51456">
        <w:t>Odvětrání kójí je provedeno VZT potrubím ¢ 100 mm (průřez 7853 mm</w:t>
      </w:r>
      <w:r w:rsidR="00A51456">
        <w:rPr>
          <w:vertAlign w:val="superscript"/>
        </w:rPr>
        <w:t>2</w:t>
      </w:r>
      <w:r w:rsidR="00A51456">
        <w:t xml:space="preserve">) nad střechu. Toto potrubí bude navrženo tak, aby nebylo nutno je osazovat požárními klapkami, tedy bude splňovat požadavky čl. 4.2.1 ČSN 73 0872. </w:t>
      </w:r>
      <w:r w:rsidR="00AB24E8">
        <w:t>Otvory pro výfuk splňují vzhledem ke svému umístění nad střechou objektu čl. 4.3.2 ČSN 73 0872.</w:t>
      </w:r>
    </w:p>
    <w:p w:rsidR="0066537E" w:rsidRDefault="0066537E" w:rsidP="00F72031">
      <w:pPr>
        <w:pStyle w:val="Zpat"/>
        <w:tabs>
          <w:tab w:val="clear" w:pos="4536"/>
          <w:tab w:val="clear" w:pos="9072"/>
        </w:tabs>
        <w:ind w:firstLine="708"/>
        <w:jc w:val="both"/>
      </w:pPr>
      <w:r>
        <w:t xml:space="preserve">Odvětrání výtahové šachty – nasávací otvor je navržen v úrovni 1.NP a přes obvodovou stěnu je vzduch veden potrubím </w:t>
      </w:r>
      <w:proofErr w:type="gramStart"/>
      <w:r>
        <w:t>do 1.PP</w:t>
      </w:r>
      <w:proofErr w:type="gramEnd"/>
      <w:r>
        <w:t xml:space="preserve"> šachtou, která je přičleněna k požárnímu úseku evakuačního výtahu a od ostatních prostor požárně oddělena včetně revizního otvoru (viz. vyhodnocení stavebních konstrukcí). Otvor pro nasávání je navržen tak, aby splňoval </w:t>
      </w:r>
      <w:r w:rsidR="00F72031">
        <w:t>čl. 4.3.3 ČSN 73 0872 (v uvedených vzdálenostech – 1,5 m vodorovně a 3 m svisle od otvoru – se nenachází žádné požárně otevřené plochy – okno z chráněné únikové cesty se v souladu s čl. 8.4.6 ČSN 73 0802 za požárně otevřenou plochu nepovažuje). Otvor pro výfuk vzduchu je navržen do fasády pod stropem šachty, tento musí splňovat požadavky čl. 4.3.2 ČSN 73 0872 – nejméně 1,5 m od únikových východů na volné prostranství, 1,5 m od otvorů pro přirozené větrání CHÚC a 1,5 m od nasávacích otvorů VZT. Vyhovuje.</w:t>
      </w:r>
    </w:p>
    <w:p w:rsidR="00F72031" w:rsidRDefault="00F72031" w:rsidP="00F72031">
      <w:pPr>
        <w:pStyle w:val="Zpat"/>
        <w:tabs>
          <w:tab w:val="clear" w:pos="4536"/>
          <w:tab w:val="clear" w:pos="9072"/>
        </w:tabs>
        <w:ind w:firstLine="708"/>
        <w:jc w:val="both"/>
      </w:pPr>
    </w:p>
    <w:p w:rsidR="0066537E" w:rsidRDefault="0066537E" w:rsidP="00AB24E8">
      <w:pPr>
        <w:pStyle w:val="Zpat"/>
        <w:tabs>
          <w:tab w:val="clear" w:pos="4536"/>
          <w:tab w:val="clear" w:pos="9072"/>
        </w:tabs>
        <w:ind w:firstLine="708"/>
        <w:jc w:val="both"/>
      </w:pPr>
    </w:p>
    <w:p w:rsidR="00611CE9" w:rsidRPr="006C59A4" w:rsidRDefault="00611CE9" w:rsidP="00A54219">
      <w:pPr>
        <w:numPr>
          <w:ilvl w:val="0"/>
          <w:numId w:val="1"/>
        </w:numPr>
        <w:ind w:hanging="540"/>
        <w:jc w:val="both"/>
        <w:rPr>
          <w:b/>
          <w:sz w:val="28"/>
          <w:szCs w:val="28"/>
          <w:u w:val="single"/>
        </w:rPr>
      </w:pPr>
      <w:r w:rsidRPr="006C59A4">
        <w:rPr>
          <w:b/>
          <w:sz w:val="28"/>
          <w:szCs w:val="28"/>
          <w:u w:val="single"/>
        </w:rPr>
        <w:t xml:space="preserve">Závěr </w:t>
      </w:r>
    </w:p>
    <w:p w:rsidR="007D6270" w:rsidRPr="006C59A4" w:rsidRDefault="007D6270" w:rsidP="00611CE9">
      <w:pPr>
        <w:jc w:val="both"/>
        <w:rPr>
          <w:b/>
          <w:sz w:val="28"/>
          <w:szCs w:val="28"/>
        </w:rPr>
      </w:pPr>
    </w:p>
    <w:p w:rsidR="00E92A84" w:rsidRPr="003A1F1B" w:rsidRDefault="00E92A84" w:rsidP="00EC33F5">
      <w:pPr>
        <w:ind w:firstLine="708"/>
        <w:jc w:val="both"/>
      </w:pPr>
      <w:r w:rsidRPr="003A1F1B">
        <w:t xml:space="preserve">Projekt </w:t>
      </w:r>
      <w:r w:rsidR="00AD074D" w:rsidRPr="003A1F1B">
        <w:t>vestavby bytového</w:t>
      </w:r>
      <w:r w:rsidR="00B342B7" w:rsidRPr="003A1F1B">
        <w:t xml:space="preserve"> domu</w:t>
      </w:r>
      <w:r w:rsidR="00A5656F" w:rsidRPr="003A1F1B">
        <w:t xml:space="preserve"> </w:t>
      </w:r>
      <w:r w:rsidR="00E27132" w:rsidRPr="003A1F1B">
        <w:t>byl posouzen</w:t>
      </w:r>
      <w:r w:rsidRPr="003A1F1B">
        <w:t xml:space="preserve"> podle platných norem a splňuje požadavky vyplývající </w:t>
      </w:r>
      <w:r w:rsidR="00A5656F" w:rsidRPr="003A1F1B">
        <w:t xml:space="preserve">z platných předpisů požární bezpečnosti staveb </w:t>
      </w:r>
      <w:r w:rsidR="00AD074D" w:rsidRPr="003A1F1B">
        <w:t xml:space="preserve">jako změna stavby skupiny II. </w:t>
      </w:r>
      <w:r w:rsidRPr="003A1F1B">
        <w:t xml:space="preserve">a </w:t>
      </w:r>
      <w:r w:rsidR="00E27132" w:rsidRPr="003A1F1B">
        <w:t>objekt po realizaci stavebních úprav</w:t>
      </w:r>
      <w:r w:rsidR="00734EFE" w:rsidRPr="003A1F1B">
        <w:t xml:space="preserve"> </w:t>
      </w:r>
      <w:r w:rsidRPr="003A1F1B">
        <w:t xml:space="preserve">lze používat k danému účelu při </w:t>
      </w:r>
      <w:r w:rsidR="003A1F1B">
        <w:t>dodržení podmínek uvedených v tomto PBŘ.</w:t>
      </w:r>
    </w:p>
    <w:p w:rsidR="00E92A84" w:rsidRPr="00FC1A67" w:rsidRDefault="00E92A84" w:rsidP="00E92A84">
      <w:pPr>
        <w:jc w:val="both"/>
        <w:rPr>
          <w:color w:val="FF0000"/>
        </w:rPr>
      </w:pPr>
    </w:p>
    <w:p w:rsidR="004314A1" w:rsidRPr="00CB3FFF" w:rsidRDefault="004314A1" w:rsidP="00B342B7">
      <w:pPr>
        <w:ind w:left="900"/>
        <w:jc w:val="both"/>
        <w:rPr>
          <w:color w:val="984806" w:themeColor="accent6" w:themeShade="80"/>
        </w:rPr>
      </w:pPr>
    </w:p>
    <w:sectPr w:rsidR="004314A1" w:rsidRPr="00CB3FFF" w:rsidSect="00227C62">
      <w:headerReference w:type="default" r:id="rId8"/>
      <w:footerReference w:type="even"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6D8D" w:rsidRDefault="00706D8D">
      <w:r>
        <w:separator/>
      </w:r>
    </w:p>
  </w:endnote>
  <w:endnote w:type="continuationSeparator" w:id="0">
    <w:p w:rsidR="00706D8D" w:rsidRDefault="00706D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E1D" w:rsidRDefault="00C37F6B" w:rsidP="00BC3158">
    <w:pPr>
      <w:pStyle w:val="Zpat"/>
      <w:framePr w:wrap="around" w:vAnchor="text" w:hAnchor="margin" w:xAlign="center" w:y="1"/>
      <w:rPr>
        <w:rStyle w:val="slostrnky"/>
      </w:rPr>
    </w:pPr>
    <w:r>
      <w:rPr>
        <w:rStyle w:val="slostrnky"/>
      </w:rPr>
      <w:fldChar w:fldCharType="begin"/>
    </w:r>
    <w:r w:rsidR="00977E1D">
      <w:rPr>
        <w:rStyle w:val="slostrnky"/>
      </w:rPr>
      <w:instrText xml:space="preserve">PAGE  </w:instrText>
    </w:r>
    <w:r>
      <w:rPr>
        <w:rStyle w:val="slostrnky"/>
      </w:rPr>
      <w:fldChar w:fldCharType="end"/>
    </w:r>
  </w:p>
  <w:p w:rsidR="00977E1D" w:rsidRDefault="00977E1D">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452" w:rsidRPr="006D30F2" w:rsidRDefault="00600452" w:rsidP="00600452">
    <w:pPr>
      <w:pStyle w:val="Zhlav"/>
      <w:pBdr>
        <w:top w:val="single" w:sz="4" w:space="1" w:color="auto"/>
      </w:pBdr>
      <w:tabs>
        <w:tab w:val="clear" w:pos="9072"/>
        <w:tab w:val="right" w:pos="9000"/>
      </w:tabs>
      <w:ind w:right="70"/>
      <w:jc w:val="center"/>
      <w:rPr>
        <w:rFonts w:ascii="Verdana" w:hAnsi="Verdana"/>
        <w:color w:val="000000"/>
        <w:sz w:val="20"/>
        <w:szCs w:val="20"/>
      </w:rPr>
    </w:pPr>
    <w:r w:rsidRPr="006D30F2">
      <w:rPr>
        <w:color w:val="000000"/>
        <w:sz w:val="20"/>
        <w:szCs w:val="20"/>
      </w:rPr>
      <w:t>Ing. Martin Grešák</w:t>
    </w:r>
    <w:r w:rsidRPr="006D30F2">
      <w:rPr>
        <w:rFonts w:ascii="Wingdings" w:hAnsi="Wingdings"/>
        <w:color w:val="000000"/>
        <w:sz w:val="20"/>
        <w:szCs w:val="20"/>
      </w:rPr>
      <w:t></w:t>
    </w:r>
    <w:r w:rsidRPr="006D30F2">
      <w:rPr>
        <w:rFonts w:ascii="Wingdings" w:hAnsi="Wingdings"/>
        <w:color w:val="000000"/>
        <w:sz w:val="20"/>
        <w:szCs w:val="20"/>
      </w:rPr>
      <w:sym w:font="Wingdings" w:char="F02A"/>
    </w:r>
    <w:r w:rsidRPr="006D30F2">
      <w:rPr>
        <w:rFonts w:ascii="Arial" w:hAnsi="Arial"/>
        <w:color w:val="000000"/>
        <w:sz w:val="20"/>
        <w:szCs w:val="20"/>
      </w:rPr>
      <w:t xml:space="preserve"> </w:t>
    </w:r>
    <w:r w:rsidRPr="006D30F2">
      <w:rPr>
        <w:color w:val="000000"/>
        <w:sz w:val="20"/>
        <w:szCs w:val="20"/>
      </w:rPr>
      <w:t>Komenského 310/25, 679 04 Adamov</w:t>
    </w:r>
    <w:r w:rsidRPr="006D30F2">
      <w:rPr>
        <w:rFonts w:ascii="Verdana" w:hAnsi="Verdana"/>
        <w:color w:val="000000"/>
        <w:sz w:val="20"/>
        <w:szCs w:val="20"/>
      </w:rPr>
      <w:t xml:space="preserve">  </w:t>
    </w:r>
    <w:r w:rsidRPr="006D30F2">
      <w:rPr>
        <w:rFonts w:ascii="Webdings" w:hAnsi="Webdings"/>
        <w:color w:val="000000"/>
        <w:sz w:val="20"/>
        <w:szCs w:val="20"/>
      </w:rPr>
      <w:t></w:t>
    </w:r>
    <w:r w:rsidRPr="006D30F2">
      <w:rPr>
        <w:color w:val="000000"/>
        <w:sz w:val="20"/>
        <w:szCs w:val="20"/>
      </w:rPr>
      <w:t>+420 777 587</w:t>
    </w:r>
    <w:r>
      <w:rPr>
        <w:color w:val="000000"/>
        <w:sz w:val="20"/>
        <w:szCs w:val="20"/>
      </w:rPr>
      <w:t> </w:t>
    </w:r>
    <w:r w:rsidRPr="006D30F2">
      <w:rPr>
        <w:color w:val="000000"/>
        <w:sz w:val="20"/>
        <w:szCs w:val="20"/>
      </w:rPr>
      <w:t>695</w:t>
    </w:r>
  </w:p>
  <w:p w:rsidR="00977E1D" w:rsidRDefault="00977E1D">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6D8D" w:rsidRDefault="00706D8D">
      <w:r>
        <w:separator/>
      </w:r>
    </w:p>
  </w:footnote>
  <w:footnote w:type="continuationSeparator" w:id="0">
    <w:p w:rsidR="00706D8D" w:rsidRDefault="00706D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452" w:rsidRDefault="00C37F6B">
    <w:pPr>
      <w:pStyle w:val="Zhlav"/>
      <w:jc w:val="center"/>
    </w:pPr>
    <w:fldSimple w:instr=" PAGE   \* MERGEFORMAT ">
      <w:r w:rsidR="00023E17">
        <w:rPr>
          <w:noProof/>
        </w:rPr>
        <w:t>6</w:t>
      </w:r>
    </w:fldSimple>
  </w:p>
  <w:p w:rsidR="00600452" w:rsidRDefault="00600452">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1134E"/>
    <w:multiLevelType w:val="hybridMultilevel"/>
    <w:tmpl w:val="67F22EEE"/>
    <w:lvl w:ilvl="0" w:tplc="56A21128">
      <w:start w:val="1"/>
      <w:numFmt w:val="decimal"/>
      <w:lvlText w:val="3.10.%1."/>
      <w:lvlJc w:val="left"/>
      <w:pPr>
        <w:ind w:left="1428" w:hanging="360"/>
      </w:pPr>
      <w:rPr>
        <w:rFonts w:hint="default"/>
        <w:b/>
        <w:sz w:val="24"/>
        <w:szCs w:val="24"/>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
    <w:nsid w:val="05460D54"/>
    <w:multiLevelType w:val="hybridMultilevel"/>
    <w:tmpl w:val="CE7602AE"/>
    <w:lvl w:ilvl="0" w:tplc="04050017">
      <w:start w:val="1"/>
      <w:numFmt w:val="lowerLetter"/>
      <w:lvlText w:val="%1)"/>
      <w:lvlJc w:val="left"/>
      <w:pPr>
        <w:tabs>
          <w:tab w:val="num" w:pos="780"/>
        </w:tabs>
        <w:ind w:left="780" w:hanging="360"/>
      </w:p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2">
    <w:nsid w:val="06151242"/>
    <w:multiLevelType w:val="hybridMultilevel"/>
    <w:tmpl w:val="C64282FE"/>
    <w:lvl w:ilvl="0" w:tplc="EDD6C37C">
      <w:start w:val="1"/>
      <w:numFmt w:val="decimal"/>
      <w:lvlText w:val="%1."/>
      <w:lvlJc w:val="left"/>
      <w:pPr>
        <w:tabs>
          <w:tab w:val="num" w:pos="540"/>
        </w:tabs>
        <w:ind w:left="540" w:hanging="360"/>
      </w:pPr>
      <w:rPr>
        <w:b/>
        <w:sz w:val="28"/>
        <w:szCs w:val="28"/>
      </w:rPr>
    </w:lvl>
    <w:lvl w:ilvl="1" w:tplc="D5F25EFE">
      <w:start w:val="1"/>
      <w:numFmt w:val="decimal"/>
      <w:lvlText w:val="3.3.%2."/>
      <w:lvlJc w:val="left"/>
      <w:pPr>
        <w:tabs>
          <w:tab w:val="num" w:pos="1080"/>
        </w:tabs>
        <w:ind w:left="1080" w:hanging="360"/>
      </w:pPr>
      <w:rPr>
        <w:rFonts w:hint="default"/>
        <w:b w:val="0"/>
        <w:sz w:val="28"/>
        <w:szCs w:val="28"/>
      </w:r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rPr>
        <w:b/>
        <w:sz w:val="28"/>
        <w:szCs w:val="28"/>
      </w:r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
    <w:nsid w:val="0B01652D"/>
    <w:multiLevelType w:val="hybridMultilevel"/>
    <w:tmpl w:val="BA3294FE"/>
    <w:lvl w:ilvl="0" w:tplc="BA4CAC14">
      <w:start w:val="1"/>
      <w:numFmt w:val="decimal"/>
      <w:lvlText w:val="3.%1. "/>
      <w:lvlJc w:val="left"/>
      <w:pPr>
        <w:tabs>
          <w:tab w:val="num" w:pos="360"/>
        </w:tabs>
        <w:ind w:left="360" w:hanging="360"/>
      </w:pPr>
      <w:rPr>
        <w:rFonts w:hint="default"/>
        <w:b/>
        <w:sz w:val="28"/>
        <w:szCs w:val="28"/>
      </w:rPr>
    </w:lvl>
    <w:lvl w:ilvl="1" w:tplc="51FC984A">
      <w:start w:val="1"/>
      <w:numFmt w:val="decimal"/>
      <w:lvlText w:val="%2."/>
      <w:lvlJc w:val="left"/>
      <w:pPr>
        <w:tabs>
          <w:tab w:val="num" w:pos="1440"/>
        </w:tabs>
        <w:ind w:left="1440" w:hanging="360"/>
      </w:pPr>
      <w:rPr>
        <w:rFonts w:hint="default"/>
        <w:b w:val="0"/>
        <w:sz w:val="24"/>
        <w:szCs w:val="24"/>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1CE4705"/>
    <w:multiLevelType w:val="hybridMultilevel"/>
    <w:tmpl w:val="ACD02BA6"/>
    <w:lvl w:ilvl="0" w:tplc="DDA24894">
      <w:start w:val="1"/>
      <w:numFmt w:val="upperRoman"/>
      <w:lvlText w:val="%1."/>
      <w:lvlJc w:val="left"/>
      <w:pPr>
        <w:tabs>
          <w:tab w:val="num" w:pos="900"/>
        </w:tabs>
        <w:ind w:left="900" w:hanging="720"/>
      </w:pPr>
      <w:rPr>
        <w:rFonts w:hint="default"/>
        <w:effect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7555449"/>
    <w:multiLevelType w:val="hybridMultilevel"/>
    <w:tmpl w:val="CC4AE726"/>
    <w:lvl w:ilvl="0" w:tplc="EB2800EC">
      <w:start w:val="1"/>
      <w:numFmt w:val="decimal"/>
      <w:lvlText w:val="2.%1. "/>
      <w:lvlJc w:val="left"/>
      <w:pPr>
        <w:tabs>
          <w:tab w:val="num" w:pos="540"/>
        </w:tabs>
        <w:ind w:left="540" w:hanging="360"/>
      </w:pPr>
      <w:rPr>
        <w:rFonts w:hint="default"/>
        <w:b/>
        <w:sz w:val="28"/>
        <w:szCs w:val="2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226D70CE"/>
    <w:multiLevelType w:val="hybridMultilevel"/>
    <w:tmpl w:val="B4DCCDFA"/>
    <w:lvl w:ilvl="0" w:tplc="81B6C3A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592019B"/>
    <w:multiLevelType w:val="hybridMultilevel"/>
    <w:tmpl w:val="DEDAE8F2"/>
    <w:lvl w:ilvl="0" w:tplc="8098D950">
      <w:start w:val="1"/>
      <w:numFmt w:val="decimal"/>
      <w:lvlText w:val="3.5.%1."/>
      <w:lvlJc w:val="left"/>
      <w:pPr>
        <w:ind w:left="1428" w:hanging="360"/>
      </w:pPr>
      <w:rPr>
        <w:rFonts w:hint="default"/>
        <w:b/>
        <w:sz w:val="24"/>
        <w:szCs w:val="24"/>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8">
    <w:nsid w:val="31444B37"/>
    <w:multiLevelType w:val="hybridMultilevel"/>
    <w:tmpl w:val="A1C82088"/>
    <w:lvl w:ilvl="0" w:tplc="04050017">
      <w:start w:val="1"/>
      <w:numFmt w:val="lowerLetter"/>
      <w:lvlText w:val="%1)"/>
      <w:lvlJc w:val="left"/>
      <w:pPr>
        <w:tabs>
          <w:tab w:val="num" w:pos="780"/>
        </w:tabs>
        <w:ind w:left="780" w:hanging="360"/>
      </w:p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9">
    <w:nsid w:val="35F53B34"/>
    <w:multiLevelType w:val="hybridMultilevel"/>
    <w:tmpl w:val="6CC2B838"/>
    <w:lvl w:ilvl="0" w:tplc="7B364A3C">
      <w:numFmt w:val="bullet"/>
      <w:lvlText w:val="-"/>
      <w:lvlJc w:val="left"/>
      <w:pPr>
        <w:ind w:left="1068" w:hanging="360"/>
      </w:pPr>
      <w:rPr>
        <w:rFonts w:ascii="Times New Roman" w:eastAsia="Times New Roman"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nsid w:val="3D9C5D6A"/>
    <w:multiLevelType w:val="hybridMultilevel"/>
    <w:tmpl w:val="04F6BB02"/>
    <w:lvl w:ilvl="0" w:tplc="40264346">
      <w:start w:val="1"/>
      <w:numFmt w:val="decimal"/>
      <w:lvlText w:val="3.2.%1."/>
      <w:lvlJc w:val="left"/>
      <w:pPr>
        <w:ind w:left="1428" w:hanging="360"/>
      </w:pPr>
      <w:rPr>
        <w:rFonts w:hint="default"/>
        <w:b/>
        <w:sz w:val="24"/>
        <w:szCs w:val="24"/>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1">
    <w:nsid w:val="5430756D"/>
    <w:multiLevelType w:val="hybridMultilevel"/>
    <w:tmpl w:val="BF1C407E"/>
    <w:lvl w:ilvl="0" w:tplc="2BEC7F3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64E3AB0"/>
    <w:multiLevelType w:val="hybridMultilevel"/>
    <w:tmpl w:val="6AD4D3F6"/>
    <w:lvl w:ilvl="0" w:tplc="04050017">
      <w:start w:val="1"/>
      <w:numFmt w:val="lowerLetter"/>
      <w:lvlText w:val="%1)"/>
      <w:lvlJc w:val="left"/>
      <w:pPr>
        <w:tabs>
          <w:tab w:val="num" w:pos="780"/>
        </w:tabs>
        <w:ind w:left="780" w:hanging="360"/>
      </w:p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13">
    <w:nsid w:val="60143B3A"/>
    <w:multiLevelType w:val="hybridMultilevel"/>
    <w:tmpl w:val="37366288"/>
    <w:lvl w:ilvl="0" w:tplc="43B61412">
      <w:numFmt w:val="decimal"/>
      <w:pStyle w:val="nadpis2"/>
      <w:lvlText w:val=""/>
      <w:lvlJc w:val="left"/>
    </w:lvl>
    <w:lvl w:ilvl="1" w:tplc="77823E26">
      <w:numFmt w:val="decimal"/>
      <w:lvlText w:val=""/>
      <w:lvlJc w:val="left"/>
    </w:lvl>
    <w:lvl w:ilvl="2" w:tplc="859E894E">
      <w:numFmt w:val="decimal"/>
      <w:lvlText w:val=""/>
      <w:lvlJc w:val="left"/>
    </w:lvl>
    <w:lvl w:ilvl="3" w:tplc="E9842292">
      <w:numFmt w:val="decimal"/>
      <w:lvlText w:val=""/>
      <w:lvlJc w:val="left"/>
    </w:lvl>
    <w:lvl w:ilvl="4" w:tplc="83340250">
      <w:numFmt w:val="decimal"/>
      <w:lvlText w:val=""/>
      <w:lvlJc w:val="left"/>
    </w:lvl>
    <w:lvl w:ilvl="5" w:tplc="24648D68">
      <w:numFmt w:val="decimal"/>
      <w:lvlText w:val=""/>
      <w:lvlJc w:val="left"/>
    </w:lvl>
    <w:lvl w:ilvl="6" w:tplc="3AFC63BC">
      <w:numFmt w:val="decimal"/>
      <w:lvlText w:val=""/>
      <w:lvlJc w:val="left"/>
    </w:lvl>
    <w:lvl w:ilvl="7" w:tplc="A07654E8">
      <w:numFmt w:val="decimal"/>
      <w:lvlText w:val=""/>
      <w:lvlJc w:val="left"/>
    </w:lvl>
    <w:lvl w:ilvl="8" w:tplc="C4488360">
      <w:numFmt w:val="decimal"/>
      <w:lvlText w:val=""/>
      <w:lvlJc w:val="left"/>
    </w:lvl>
  </w:abstractNum>
  <w:abstractNum w:abstractNumId="14">
    <w:nsid w:val="60555B6C"/>
    <w:multiLevelType w:val="hybridMultilevel"/>
    <w:tmpl w:val="4C0E4B6A"/>
    <w:lvl w:ilvl="0" w:tplc="C78854DE">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nsid w:val="69954FBA"/>
    <w:multiLevelType w:val="hybridMultilevel"/>
    <w:tmpl w:val="D31C528E"/>
    <w:lvl w:ilvl="0" w:tplc="7B88760A">
      <w:start w:val="1"/>
      <w:numFmt w:val="decimal"/>
      <w:lvlText w:val="3.3.%1."/>
      <w:lvlJc w:val="left"/>
      <w:pPr>
        <w:ind w:left="1428" w:hanging="360"/>
      </w:pPr>
      <w:rPr>
        <w:rFonts w:hint="default"/>
        <w:b/>
        <w:sz w:val="24"/>
        <w:szCs w:val="24"/>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6">
    <w:nsid w:val="6FBB33E9"/>
    <w:multiLevelType w:val="hybridMultilevel"/>
    <w:tmpl w:val="46AEF528"/>
    <w:lvl w:ilvl="0" w:tplc="FB3A9C3C">
      <w:start w:val="1"/>
      <w:numFmt w:val="low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num w:numId="1">
    <w:abstractNumId w:val="2"/>
  </w:num>
  <w:num w:numId="2">
    <w:abstractNumId w:val="5"/>
  </w:num>
  <w:num w:numId="3">
    <w:abstractNumId w:val="3"/>
  </w:num>
  <w:num w:numId="4">
    <w:abstractNumId w:val="4"/>
  </w:num>
  <w:num w:numId="5">
    <w:abstractNumId w:val="10"/>
  </w:num>
  <w:num w:numId="6">
    <w:abstractNumId w:val="15"/>
  </w:num>
  <w:num w:numId="7">
    <w:abstractNumId w:val="11"/>
  </w:num>
  <w:num w:numId="8">
    <w:abstractNumId w:val="1"/>
  </w:num>
  <w:num w:numId="9">
    <w:abstractNumId w:val="8"/>
  </w:num>
  <w:num w:numId="10">
    <w:abstractNumId w:val="12"/>
  </w:num>
  <w:num w:numId="11">
    <w:abstractNumId w:val="0"/>
  </w:num>
  <w:num w:numId="12">
    <w:abstractNumId w:val="7"/>
  </w:num>
  <w:num w:numId="13">
    <w:abstractNumId w:val="14"/>
  </w:num>
  <w:num w:numId="14">
    <w:abstractNumId w:val="13"/>
  </w:num>
  <w:num w:numId="15">
    <w:abstractNumId w:val="6"/>
  </w:num>
  <w:num w:numId="16">
    <w:abstractNumId w:val="16"/>
  </w:num>
  <w:num w:numId="17">
    <w:abstractNumId w:val="9"/>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7B0EBF"/>
    <w:rsid w:val="00002145"/>
    <w:rsid w:val="0000585B"/>
    <w:rsid w:val="000128AC"/>
    <w:rsid w:val="00013887"/>
    <w:rsid w:val="0001790F"/>
    <w:rsid w:val="00022270"/>
    <w:rsid w:val="000223C0"/>
    <w:rsid w:val="00023E17"/>
    <w:rsid w:val="00025945"/>
    <w:rsid w:val="00025EBA"/>
    <w:rsid w:val="0004308A"/>
    <w:rsid w:val="00045158"/>
    <w:rsid w:val="000571E7"/>
    <w:rsid w:val="00060425"/>
    <w:rsid w:val="00064717"/>
    <w:rsid w:val="0006642B"/>
    <w:rsid w:val="00067D76"/>
    <w:rsid w:val="00071522"/>
    <w:rsid w:val="000738F6"/>
    <w:rsid w:val="00074C58"/>
    <w:rsid w:val="00080973"/>
    <w:rsid w:val="00083118"/>
    <w:rsid w:val="00096E2D"/>
    <w:rsid w:val="000A06B3"/>
    <w:rsid w:val="000A08D2"/>
    <w:rsid w:val="000A3B28"/>
    <w:rsid w:val="000A5E01"/>
    <w:rsid w:val="000A6A76"/>
    <w:rsid w:val="000B094E"/>
    <w:rsid w:val="000B2BD2"/>
    <w:rsid w:val="000B4C86"/>
    <w:rsid w:val="000B5286"/>
    <w:rsid w:val="000B72E4"/>
    <w:rsid w:val="000C210C"/>
    <w:rsid w:val="000C2523"/>
    <w:rsid w:val="000C2B54"/>
    <w:rsid w:val="000C2BFA"/>
    <w:rsid w:val="000C614A"/>
    <w:rsid w:val="000D09A9"/>
    <w:rsid w:val="000D4187"/>
    <w:rsid w:val="000D61D8"/>
    <w:rsid w:val="000D6DCE"/>
    <w:rsid w:val="000E042D"/>
    <w:rsid w:val="000E0E1A"/>
    <w:rsid w:val="000E14FF"/>
    <w:rsid w:val="000E4407"/>
    <w:rsid w:val="000E4C3E"/>
    <w:rsid w:val="000E5359"/>
    <w:rsid w:val="000E542D"/>
    <w:rsid w:val="000E69EE"/>
    <w:rsid w:val="000E74A3"/>
    <w:rsid w:val="000F6492"/>
    <w:rsid w:val="000F7477"/>
    <w:rsid w:val="00100C75"/>
    <w:rsid w:val="00102002"/>
    <w:rsid w:val="00103730"/>
    <w:rsid w:val="00105046"/>
    <w:rsid w:val="00107796"/>
    <w:rsid w:val="00110C35"/>
    <w:rsid w:val="001127C9"/>
    <w:rsid w:val="001243D0"/>
    <w:rsid w:val="00131594"/>
    <w:rsid w:val="00132A40"/>
    <w:rsid w:val="001468F8"/>
    <w:rsid w:val="00151207"/>
    <w:rsid w:val="001540F6"/>
    <w:rsid w:val="00157ED7"/>
    <w:rsid w:val="00165DD8"/>
    <w:rsid w:val="001667A6"/>
    <w:rsid w:val="001767B4"/>
    <w:rsid w:val="00180A25"/>
    <w:rsid w:val="0018393D"/>
    <w:rsid w:val="00186173"/>
    <w:rsid w:val="00186464"/>
    <w:rsid w:val="00191176"/>
    <w:rsid w:val="00193DC6"/>
    <w:rsid w:val="00195258"/>
    <w:rsid w:val="001A0D62"/>
    <w:rsid w:val="001A2D8A"/>
    <w:rsid w:val="001A2E0E"/>
    <w:rsid w:val="001A4E8A"/>
    <w:rsid w:val="001A5E7B"/>
    <w:rsid w:val="001B1851"/>
    <w:rsid w:val="001B29AB"/>
    <w:rsid w:val="001B45CA"/>
    <w:rsid w:val="001C2150"/>
    <w:rsid w:val="001C2453"/>
    <w:rsid w:val="001C295C"/>
    <w:rsid w:val="001C7129"/>
    <w:rsid w:val="001D013A"/>
    <w:rsid w:val="001E37A8"/>
    <w:rsid w:val="001E3CDA"/>
    <w:rsid w:val="001E50B6"/>
    <w:rsid w:val="001E7D8F"/>
    <w:rsid w:val="00203E98"/>
    <w:rsid w:val="00204B85"/>
    <w:rsid w:val="0020612E"/>
    <w:rsid w:val="00210DC6"/>
    <w:rsid w:val="00213081"/>
    <w:rsid w:val="0022047D"/>
    <w:rsid w:val="00221329"/>
    <w:rsid w:val="00227C62"/>
    <w:rsid w:val="00227FB1"/>
    <w:rsid w:val="00227FB7"/>
    <w:rsid w:val="00230A0A"/>
    <w:rsid w:val="00231323"/>
    <w:rsid w:val="00232787"/>
    <w:rsid w:val="00236318"/>
    <w:rsid w:val="00237CB7"/>
    <w:rsid w:val="00247BC8"/>
    <w:rsid w:val="00247C61"/>
    <w:rsid w:val="002541CB"/>
    <w:rsid w:val="00273E2D"/>
    <w:rsid w:val="00276B8A"/>
    <w:rsid w:val="002779A3"/>
    <w:rsid w:val="00280985"/>
    <w:rsid w:val="00280E92"/>
    <w:rsid w:val="00282BB0"/>
    <w:rsid w:val="00283519"/>
    <w:rsid w:val="00293426"/>
    <w:rsid w:val="00293952"/>
    <w:rsid w:val="00293C53"/>
    <w:rsid w:val="00293D99"/>
    <w:rsid w:val="002A0191"/>
    <w:rsid w:val="002A035B"/>
    <w:rsid w:val="002A4213"/>
    <w:rsid w:val="002A4375"/>
    <w:rsid w:val="002A4C04"/>
    <w:rsid w:val="002A5A4B"/>
    <w:rsid w:val="002B052B"/>
    <w:rsid w:val="002B0F05"/>
    <w:rsid w:val="002B0FFB"/>
    <w:rsid w:val="002B2B45"/>
    <w:rsid w:val="002B62D6"/>
    <w:rsid w:val="002C0F46"/>
    <w:rsid w:val="002C4C0A"/>
    <w:rsid w:val="002C4F12"/>
    <w:rsid w:val="002C5D56"/>
    <w:rsid w:val="002D03DD"/>
    <w:rsid w:val="002D0521"/>
    <w:rsid w:val="002D1F76"/>
    <w:rsid w:val="002D5055"/>
    <w:rsid w:val="002E5E54"/>
    <w:rsid w:val="002F1F74"/>
    <w:rsid w:val="002F3BC1"/>
    <w:rsid w:val="002F414D"/>
    <w:rsid w:val="002F449B"/>
    <w:rsid w:val="003001FF"/>
    <w:rsid w:val="00301782"/>
    <w:rsid w:val="00304D0F"/>
    <w:rsid w:val="003106A4"/>
    <w:rsid w:val="00312B4F"/>
    <w:rsid w:val="0031382B"/>
    <w:rsid w:val="00313AA6"/>
    <w:rsid w:val="003149D6"/>
    <w:rsid w:val="0031509B"/>
    <w:rsid w:val="003211D6"/>
    <w:rsid w:val="00321A76"/>
    <w:rsid w:val="0032359C"/>
    <w:rsid w:val="003257B0"/>
    <w:rsid w:val="0032580D"/>
    <w:rsid w:val="00326453"/>
    <w:rsid w:val="00331671"/>
    <w:rsid w:val="00332E1F"/>
    <w:rsid w:val="00334BE7"/>
    <w:rsid w:val="00336C8C"/>
    <w:rsid w:val="003401FC"/>
    <w:rsid w:val="00340CAE"/>
    <w:rsid w:val="0034313F"/>
    <w:rsid w:val="00351CB4"/>
    <w:rsid w:val="00354C3E"/>
    <w:rsid w:val="003557B2"/>
    <w:rsid w:val="00363566"/>
    <w:rsid w:val="00370C3A"/>
    <w:rsid w:val="00371E13"/>
    <w:rsid w:val="00372FE0"/>
    <w:rsid w:val="00373583"/>
    <w:rsid w:val="00375308"/>
    <w:rsid w:val="00377C42"/>
    <w:rsid w:val="00380031"/>
    <w:rsid w:val="00385BA6"/>
    <w:rsid w:val="00386926"/>
    <w:rsid w:val="00394BD0"/>
    <w:rsid w:val="00395023"/>
    <w:rsid w:val="003A1F1B"/>
    <w:rsid w:val="003A2B42"/>
    <w:rsid w:val="003A392E"/>
    <w:rsid w:val="003B5FC4"/>
    <w:rsid w:val="003C34F0"/>
    <w:rsid w:val="003C3885"/>
    <w:rsid w:val="003C519A"/>
    <w:rsid w:val="003C634F"/>
    <w:rsid w:val="003C6B13"/>
    <w:rsid w:val="003C6EAB"/>
    <w:rsid w:val="003D425D"/>
    <w:rsid w:val="003D5525"/>
    <w:rsid w:val="003D5561"/>
    <w:rsid w:val="003E1218"/>
    <w:rsid w:val="003E22A7"/>
    <w:rsid w:val="003E7532"/>
    <w:rsid w:val="003F13B6"/>
    <w:rsid w:val="00401BBF"/>
    <w:rsid w:val="00411CA9"/>
    <w:rsid w:val="0042101C"/>
    <w:rsid w:val="00421979"/>
    <w:rsid w:val="00425E7E"/>
    <w:rsid w:val="00427F1B"/>
    <w:rsid w:val="004314A1"/>
    <w:rsid w:val="0043168E"/>
    <w:rsid w:val="00432AC4"/>
    <w:rsid w:val="004357B5"/>
    <w:rsid w:val="00443D45"/>
    <w:rsid w:val="004479D6"/>
    <w:rsid w:val="00450CCC"/>
    <w:rsid w:val="00456031"/>
    <w:rsid w:val="00457B92"/>
    <w:rsid w:val="004613D6"/>
    <w:rsid w:val="004626B1"/>
    <w:rsid w:val="00464C85"/>
    <w:rsid w:val="00470CBB"/>
    <w:rsid w:val="0047561A"/>
    <w:rsid w:val="004778A4"/>
    <w:rsid w:val="00477B45"/>
    <w:rsid w:val="004860A1"/>
    <w:rsid w:val="004905EA"/>
    <w:rsid w:val="00495E1B"/>
    <w:rsid w:val="004A134E"/>
    <w:rsid w:val="004B0B53"/>
    <w:rsid w:val="004B1B3D"/>
    <w:rsid w:val="004B235A"/>
    <w:rsid w:val="004B2FC9"/>
    <w:rsid w:val="004B6ED9"/>
    <w:rsid w:val="004B7196"/>
    <w:rsid w:val="004B7F9A"/>
    <w:rsid w:val="004C02EE"/>
    <w:rsid w:val="004C128F"/>
    <w:rsid w:val="004C24E8"/>
    <w:rsid w:val="004C4567"/>
    <w:rsid w:val="004E5852"/>
    <w:rsid w:val="004E687B"/>
    <w:rsid w:val="004E68A9"/>
    <w:rsid w:val="004F0A0F"/>
    <w:rsid w:val="004F0D57"/>
    <w:rsid w:val="004F2C16"/>
    <w:rsid w:val="004F4BBF"/>
    <w:rsid w:val="004F543E"/>
    <w:rsid w:val="004F5608"/>
    <w:rsid w:val="004F6EB2"/>
    <w:rsid w:val="004F7A9D"/>
    <w:rsid w:val="00506821"/>
    <w:rsid w:val="00510EB2"/>
    <w:rsid w:val="00511390"/>
    <w:rsid w:val="00511D2B"/>
    <w:rsid w:val="00514E9B"/>
    <w:rsid w:val="005223A9"/>
    <w:rsid w:val="00522974"/>
    <w:rsid w:val="005235B6"/>
    <w:rsid w:val="005246BD"/>
    <w:rsid w:val="00527482"/>
    <w:rsid w:val="0052783A"/>
    <w:rsid w:val="005448A0"/>
    <w:rsid w:val="00547CE7"/>
    <w:rsid w:val="0055448C"/>
    <w:rsid w:val="005554E5"/>
    <w:rsid w:val="005565A7"/>
    <w:rsid w:val="0056098E"/>
    <w:rsid w:val="005625FC"/>
    <w:rsid w:val="00562B93"/>
    <w:rsid w:val="00563513"/>
    <w:rsid w:val="005714D0"/>
    <w:rsid w:val="005724EA"/>
    <w:rsid w:val="00574A8C"/>
    <w:rsid w:val="00575E1B"/>
    <w:rsid w:val="00583CF3"/>
    <w:rsid w:val="005874F5"/>
    <w:rsid w:val="005906AC"/>
    <w:rsid w:val="005A0513"/>
    <w:rsid w:val="005A3E9E"/>
    <w:rsid w:val="005A4EB4"/>
    <w:rsid w:val="005B2414"/>
    <w:rsid w:val="005B3CC9"/>
    <w:rsid w:val="005B798B"/>
    <w:rsid w:val="005C33DB"/>
    <w:rsid w:val="005C73F4"/>
    <w:rsid w:val="005C7AF2"/>
    <w:rsid w:val="005D14AA"/>
    <w:rsid w:val="005D1982"/>
    <w:rsid w:val="005D2F3F"/>
    <w:rsid w:val="005E0DA3"/>
    <w:rsid w:val="005E256A"/>
    <w:rsid w:val="005E2EC7"/>
    <w:rsid w:val="005E685A"/>
    <w:rsid w:val="005E7492"/>
    <w:rsid w:val="005F19FE"/>
    <w:rsid w:val="005F3E55"/>
    <w:rsid w:val="005F41F7"/>
    <w:rsid w:val="005F463F"/>
    <w:rsid w:val="005F46D2"/>
    <w:rsid w:val="00600452"/>
    <w:rsid w:val="00600BE3"/>
    <w:rsid w:val="00604FC4"/>
    <w:rsid w:val="00605D02"/>
    <w:rsid w:val="006069E0"/>
    <w:rsid w:val="006071BA"/>
    <w:rsid w:val="00607766"/>
    <w:rsid w:val="00611CE9"/>
    <w:rsid w:val="0061253F"/>
    <w:rsid w:val="00613B2D"/>
    <w:rsid w:val="0061465E"/>
    <w:rsid w:val="00614EC7"/>
    <w:rsid w:val="00615174"/>
    <w:rsid w:val="0062139D"/>
    <w:rsid w:val="00621C50"/>
    <w:rsid w:val="00621DF2"/>
    <w:rsid w:val="00627604"/>
    <w:rsid w:val="0063444C"/>
    <w:rsid w:val="006347DA"/>
    <w:rsid w:val="00642C69"/>
    <w:rsid w:val="00642CC3"/>
    <w:rsid w:val="00643BC6"/>
    <w:rsid w:val="00644683"/>
    <w:rsid w:val="0065148C"/>
    <w:rsid w:val="00657009"/>
    <w:rsid w:val="00661A31"/>
    <w:rsid w:val="00663362"/>
    <w:rsid w:val="00664B35"/>
    <w:rsid w:val="0066537E"/>
    <w:rsid w:val="00665965"/>
    <w:rsid w:val="006719BB"/>
    <w:rsid w:val="006720EA"/>
    <w:rsid w:val="006735F2"/>
    <w:rsid w:val="00684AF6"/>
    <w:rsid w:val="00692229"/>
    <w:rsid w:val="00694E49"/>
    <w:rsid w:val="006A0581"/>
    <w:rsid w:val="006A1EB6"/>
    <w:rsid w:val="006A4393"/>
    <w:rsid w:val="006B0B8F"/>
    <w:rsid w:val="006B1CB0"/>
    <w:rsid w:val="006B51DB"/>
    <w:rsid w:val="006B7500"/>
    <w:rsid w:val="006C06AE"/>
    <w:rsid w:val="006C104E"/>
    <w:rsid w:val="006C121D"/>
    <w:rsid w:val="006C2FBD"/>
    <w:rsid w:val="006C48D3"/>
    <w:rsid w:val="006C59A4"/>
    <w:rsid w:val="006C6337"/>
    <w:rsid w:val="006D1275"/>
    <w:rsid w:val="006E068A"/>
    <w:rsid w:val="006E1084"/>
    <w:rsid w:val="006E2B14"/>
    <w:rsid w:val="006E704B"/>
    <w:rsid w:val="006F231E"/>
    <w:rsid w:val="006F6F0D"/>
    <w:rsid w:val="00700734"/>
    <w:rsid w:val="00701CA2"/>
    <w:rsid w:val="00706686"/>
    <w:rsid w:val="00706D8D"/>
    <w:rsid w:val="007070CD"/>
    <w:rsid w:val="00711FC6"/>
    <w:rsid w:val="00712471"/>
    <w:rsid w:val="00714107"/>
    <w:rsid w:val="00714D46"/>
    <w:rsid w:val="007150E3"/>
    <w:rsid w:val="00715B16"/>
    <w:rsid w:val="00716AC0"/>
    <w:rsid w:val="00720788"/>
    <w:rsid w:val="007212AB"/>
    <w:rsid w:val="00722CB2"/>
    <w:rsid w:val="007246F1"/>
    <w:rsid w:val="00725940"/>
    <w:rsid w:val="0072729D"/>
    <w:rsid w:val="007303B1"/>
    <w:rsid w:val="00730CB6"/>
    <w:rsid w:val="007327CB"/>
    <w:rsid w:val="007346E3"/>
    <w:rsid w:val="00734EFE"/>
    <w:rsid w:val="00735E7A"/>
    <w:rsid w:val="0073746B"/>
    <w:rsid w:val="0073766B"/>
    <w:rsid w:val="00743499"/>
    <w:rsid w:val="007451CD"/>
    <w:rsid w:val="00750041"/>
    <w:rsid w:val="00752372"/>
    <w:rsid w:val="007541B1"/>
    <w:rsid w:val="0075669F"/>
    <w:rsid w:val="00760A14"/>
    <w:rsid w:val="00761F5C"/>
    <w:rsid w:val="00762673"/>
    <w:rsid w:val="007628FE"/>
    <w:rsid w:val="00763538"/>
    <w:rsid w:val="0076683C"/>
    <w:rsid w:val="00770502"/>
    <w:rsid w:val="0077241F"/>
    <w:rsid w:val="00773DFE"/>
    <w:rsid w:val="007753B9"/>
    <w:rsid w:val="00775E0B"/>
    <w:rsid w:val="00783E51"/>
    <w:rsid w:val="00785596"/>
    <w:rsid w:val="00787167"/>
    <w:rsid w:val="00792261"/>
    <w:rsid w:val="0079226B"/>
    <w:rsid w:val="0079407F"/>
    <w:rsid w:val="007A0843"/>
    <w:rsid w:val="007A08BB"/>
    <w:rsid w:val="007B0EBF"/>
    <w:rsid w:val="007B35F7"/>
    <w:rsid w:val="007B6E09"/>
    <w:rsid w:val="007D061B"/>
    <w:rsid w:val="007D33A6"/>
    <w:rsid w:val="007D41F8"/>
    <w:rsid w:val="007D6270"/>
    <w:rsid w:val="007D753D"/>
    <w:rsid w:val="007E2A61"/>
    <w:rsid w:val="007F3386"/>
    <w:rsid w:val="00800093"/>
    <w:rsid w:val="008066B5"/>
    <w:rsid w:val="008135C3"/>
    <w:rsid w:val="00815F24"/>
    <w:rsid w:val="00816F5F"/>
    <w:rsid w:val="00825C35"/>
    <w:rsid w:val="00831CE2"/>
    <w:rsid w:val="00833B5E"/>
    <w:rsid w:val="00837CEB"/>
    <w:rsid w:val="00841887"/>
    <w:rsid w:val="00841DA3"/>
    <w:rsid w:val="00845176"/>
    <w:rsid w:val="008502BB"/>
    <w:rsid w:val="008513F3"/>
    <w:rsid w:val="00851E4F"/>
    <w:rsid w:val="00851F6F"/>
    <w:rsid w:val="008563E2"/>
    <w:rsid w:val="00856FBA"/>
    <w:rsid w:val="008570C4"/>
    <w:rsid w:val="00860886"/>
    <w:rsid w:val="00860935"/>
    <w:rsid w:val="00862B67"/>
    <w:rsid w:val="008662EC"/>
    <w:rsid w:val="008705A8"/>
    <w:rsid w:val="0087173C"/>
    <w:rsid w:val="008748A7"/>
    <w:rsid w:val="00892E50"/>
    <w:rsid w:val="00893840"/>
    <w:rsid w:val="008955EB"/>
    <w:rsid w:val="0089797E"/>
    <w:rsid w:val="008A018D"/>
    <w:rsid w:val="008A17BC"/>
    <w:rsid w:val="008A4032"/>
    <w:rsid w:val="008A5018"/>
    <w:rsid w:val="008A599D"/>
    <w:rsid w:val="008B166C"/>
    <w:rsid w:val="008B4F33"/>
    <w:rsid w:val="008B5C3A"/>
    <w:rsid w:val="008C1805"/>
    <w:rsid w:val="008C38B9"/>
    <w:rsid w:val="008C5FBB"/>
    <w:rsid w:val="008C6E94"/>
    <w:rsid w:val="008D75CC"/>
    <w:rsid w:val="008E3A05"/>
    <w:rsid w:val="008F1503"/>
    <w:rsid w:val="008F28B5"/>
    <w:rsid w:val="00902B0C"/>
    <w:rsid w:val="009039CE"/>
    <w:rsid w:val="009045C3"/>
    <w:rsid w:val="009059AA"/>
    <w:rsid w:val="00906E8E"/>
    <w:rsid w:val="00910D9C"/>
    <w:rsid w:val="0091466C"/>
    <w:rsid w:val="00920463"/>
    <w:rsid w:val="009211DC"/>
    <w:rsid w:val="00921ADB"/>
    <w:rsid w:val="009227D4"/>
    <w:rsid w:val="00926237"/>
    <w:rsid w:val="00930476"/>
    <w:rsid w:val="00931CDA"/>
    <w:rsid w:val="0093260C"/>
    <w:rsid w:val="00932F0A"/>
    <w:rsid w:val="00933BC4"/>
    <w:rsid w:val="00934C85"/>
    <w:rsid w:val="00934DB7"/>
    <w:rsid w:val="00937D7A"/>
    <w:rsid w:val="00940DD1"/>
    <w:rsid w:val="00942981"/>
    <w:rsid w:val="00942B68"/>
    <w:rsid w:val="009452DF"/>
    <w:rsid w:val="00960689"/>
    <w:rsid w:val="00960961"/>
    <w:rsid w:val="0096145C"/>
    <w:rsid w:val="009617D2"/>
    <w:rsid w:val="0096693A"/>
    <w:rsid w:val="00972DB4"/>
    <w:rsid w:val="009759D3"/>
    <w:rsid w:val="00977E1D"/>
    <w:rsid w:val="00982586"/>
    <w:rsid w:val="00983974"/>
    <w:rsid w:val="00987AA0"/>
    <w:rsid w:val="00990437"/>
    <w:rsid w:val="009917A7"/>
    <w:rsid w:val="00991A9E"/>
    <w:rsid w:val="0099244B"/>
    <w:rsid w:val="00997108"/>
    <w:rsid w:val="009972A6"/>
    <w:rsid w:val="009A66C2"/>
    <w:rsid w:val="009B21E4"/>
    <w:rsid w:val="009B5C3A"/>
    <w:rsid w:val="009C2C15"/>
    <w:rsid w:val="009D0414"/>
    <w:rsid w:val="009D7087"/>
    <w:rsid w:val="009D7BB2"/>
    <w:rsid w:val="009F174B"/>
    <w:rsid w:val="009F1995"/>
    <w:rsid w:val="009F215E"/>
    <w:rsid w:val="009F429D"/>
    <w:rsid w:val="009F64E8"/>
    <w:rsid w:val="00A01C71"/>
    <w:rsid w:val="00A0596F"/>
    <w:rsid w:val="00A067F4"/>
    <w:rsid w:val="00A07AB4"/>
    <w:rsid w:val="00A10D92"/>
    <w:rsid w:val="00A164E2"/>
    <w:rsid w:val="00A216D3"/>
    <w:rsid w:val="00A24F4C"/>
    <w:rsid w:val="00A25995"/>
    <w:rsid w:val="00A268A9"/>
    <w:rsid w:val="00A4053D"/>
    <w:rsid w:val="00A414C2"/>
    <w:rsid w:val="00A462C2"/>
    <w:rsid w:val="00A50637"/>
    <w:rsid w:val="00A51456"/>
    <w:rsid w:val="00A54219"/>
    <w:rsid w:val="00A548B5"/>
    <w:rsid w:val="00A5656F"/>
    <w:rsid w:val="00A654AE"/>
    <w:rsid w:val="00A72994"/>
    <w:rsid w:val="00A85545"/>
    <w:rsid w:val="00A8655B"/>
    <w:rsid w:val="00A86B46"/>
    <w:rsid w:val="00A90BFB"/>
    <w:rsid w:val="00A9600C"/>
    <w:rsid w:val="00A96604"/>
    <w:rsid w:val="00AA154F"/>
    <w:rsid w:val="00AA2F73"/>
    <w:rsid w:val="00AA3AC9"/>
    <w:rsid w:val="00AB0EF1"/>
    <w:rsid w:val="00AB24E8"/>
    <w:rsid w:val="00AC25B9"/>
    <w:rsid w:val="00AC2B0D"/>
    <w:rsid w:val="00AC4665"/>
    <w:rsid w:val="00AC6BAA"/>
    <w:rsid w:val="00AC7647"/>
    <w:rsid w:val="00AD074D"/>
    <w:rsid w:val="00AD2F0E"/>
    <w:rsid w:val="00AD61A8"/>
    <w:rsid w:val="00AE1D65"/>
    <w:rsid w:val="00AE2786"/>
    <w:rsid w:val="00AE4B99"/>
    <w:rsid w:val="00AE7356"/>
    <w:rsid w:val="00AF0CF5"/>
    <w:rsid w:val="00AF111B"/>
    <w:rsid w:val="00AF44F0"/>
    <w:rsid w:val="00B02463"/>
    <w:rsid w:val="00B02B52"/>
    <w:rsid w:val="00B02ECC"/>
    <w:rsid w:val="00B056C7"/>
    <w:rsid w:val="00B06BD2"/>
    <w:rsid w:val="00B0795D"/>
    <w:rsid w:val="00B10AC7"/>
    <w:rsid w:val="00B1315E"/>
    <w:rsid w:val="00B134BD"/>
    <w:rsid w:val="00B144A2"/>
    <w:rsid w:val="00B158C5"/>
    <w:rsid w:val="00B2009B"/>
    <w:rsid w:val="00B2079A"/>
    <w:rsid w:val="00B24460"/>
    <w:rsid w:val="00B26431"/>
    <w:rsid w:val="00B26B17"/>
    <w:rsid w:val="00B27E94"/>
    <w:rsid w:val="00B342B7"/>
    <w:rsid w:val="00B41262"/>
    <w:rsid w:val="00B42819"/>
    <w:rsid w:val="00B43C99"/>
    <w:rsid w:val="00B44914"/>
    <w:rsid w:val="00B50AA7"/>
    <w:rsid w:val="00B54856"/>
    <w:rsid w:val="00B548F7"/>
    <w:rsid w:val="00B556AE"/>
    <w:rsid w:val="00B56A27"/>
    <w:rsid w:val="00B60A5D"/>
    <w:rsid w:val="00B621E9"/>
    <w:rsid w:val="00B66F2E"/>
    <w:rsid w:val="00B724B6"/>
    <w:rsid w:val="00B77D10"/>
    <w:rsid w:val="00B77EF4"/>
    <w:rsid w:val="00B85A75"/>
    <w:rsid w:val="00B863BD"/>
    <w:rsid w:val="00B93A60"/>
    <w:rsid w:val="00B9593A"/>
    <w:rsid w:val="00B95D3D"/>
    <w:rsid w:val="00BA2CCA"/>
    <w:rsid w:val="00BA3729"/>
    <w:rsid w:val="00BA3E12"/>
    <w:rsid w:val="00BA6502"/>
    <w:rsid w:val="00BA6DE7"/>
    <w:rsid w:val="00BB0BAA"/>
    <w:rsid w:val="00BB2793"/>
    <w:rsid w:val="00BB6556"/>
    <w:rsid w:val="00BB7136"/>
    <w:rsid w:val="00BC2B05"/>
    <w:rsid w:val="00BC2F05"/>
    <w:rsid w:val="00BC3158"/>
    <w:rsid w:val="00BC3637"/>
    <w:rsid w:val="00BC447B"/>
    <w:rsid w:val="00BC575E"/>
    <w:rsid w:val="00BC66DA"/>
    <w:rsid w:val="00BC76A4"/>
    <w:rsid w:val="00BD1386"/>
    <w:rsid w:val="00BD6AFD"/>
    <w:rsid w:val="00BD79EC"/>
    <w:rsid w:val="00BE030D"/>
    <w:rsid w:val="00BE1A86"/>
    <w:rsid w:val="00BE2972"/>
    <w:rsid w:val="00BF0D3B"/>
    <w:rsid w:val="00BF7152"/>
    <w:rsid w:val="00C07AAF"/>
    <w:rsid w:val="00C1585E"/>
    <w:rsid w:val="00C16BCF"/>
    <w:rsid w:val="00C20D7A"/>
    <w:rsid w:val="00C23DA9"/>
    <w:rsid w:val="00C246E9"/>
    <w:rsid w:val="00C25BDD"/>
    <w:rsid w:val="00C3134A"/>
    <w:rsid w:val="00C33C80"/>
    <w:rsid w:val="00C34091"/>
    <w:rsid w:val="00C367FC"/>
    <w:rsid w:val="00C37F6B"/>
    <w:rsid w:val="00C43194"/>
    <w:rsid w:val="00C4525D"/>
    <w:rsid w:val="00C467D5"/>
    <w:rsid w:val="00C47BFA"/>
    <w:rsid w:val="00C501E2"/>
    <w:rsid w:val="00C57A3C"/>
    <w:rsid w:val="00C64DB1"/>
    <w:rsid w:val="00C72943"/>
    <w:rsid w:val="00C7398B"/>
    <w:rsid w:val="00C801CF"/>
    <w:rsid w:val="00C80972"/>
    <w:rsid w:val="00C820C2"/>
    <w:rsid w:val="00C833FC"/>
    <w:rsid w:val="00C84D51"/>
    <w:rsid w:val="00C97800"/>
    <w:rsid w:val="00CA0CA9"/>
    <w:rsid w:val="00CA69CD"/>
    <w:rsid w:val="00CA6CDF"/>
    <w:rsid w:val="00CB00D2"/>
    <w:rsid w:val="00CB3640"/>
    <w:rsid w:val="00CB3FFF"/>
    <w:rsid w:val="00CB5E14"/>
    <w:rsid w:val="00CB5F4B"/>
    <w:rsid w:val="00CB74A2"/>
    <w:rsid w:val="00CC0C6E"/>
    <w:rsid w:val="00CC2545"/>
    <w:rsid w:val="00CC25CA"/>
    <w:rsid w:val="00CC549F"/>
    <w:rsid w:val="00CC5860"/>
    <w:rsid w:val="00CD3EA4"/>
    <w:rsid w:val="00CD4480"/>
    <w:rsid w:val="00CE03A9"/>
    <w:rsid w:val="00CE1454"/>
    <w:rsid w:val="00CE244A"/>
    <w:rsid w:val="00CE511B"/>
    <w:rsid w:val="00CF22BE"/>
    <w:rsid w:val="00CF435A"/>
    <w:rsid w:val="00CF471E"/>
    <w:rsid w:val="00D02AAA"/>
    <w:rsid w:val="00D05063"/>
    <w:rsid w:val="00D11967"/>
    <w:rsid w:val="00D12104"/>
    <w:rsid w:val="00D1248A"/>
    <w:rsid w:val="00D15D0F"/>
    <w:rsid w:val="00D15DBB"/>
    <w:rsid w:val="00D225B6"/>
    <w:rsid w:val="00D31555"/>
    <w:rsid w:val="00D31785"/>
    <w:rsid w:val="00D32863"/>
    <w:rsid w:val="00D341BA"/>
    <w:rsid w:val="00D36B5A"/>
    <w:rsid w:val="00D423FB"/>
    <w:rsid w:val="00D43BB4"/>
    <w:rsid w:val="00D46178"/>
    <w:rsid w:val="00D46745"/>
    <w:rsid w:val="00D47990"/>
    <w:rsid w:val="00D51A6E"/>
    <w:rsid w:val="00D51D1D"/>
    <w:rsid w:val="00D57CD8"/>
    <w:rsid w:val="00D6543D"/>
    <w:rsid w:val="00D77C79"/>
    <w:rsid w:val="00D80BDF"/>
    <w:rsid w:val="00D81713"/>
    <w:rsid w:val="00D8575F"/>
    <w:rsid w:val="00D92E49"/>
    <w:rsid w:val="00D947C4"/>
    <w:rsid w:val="00D970F4"/>
    <w:rsid w:val="00D97665"/>
    <w:rsid w:val="00D9794B"/>
    <w:rsid w:val="00D97C45"/>
    <w:rsid w:val="00DA1401"/>
    <w:rsid w:val="00DA5D2D"/>
    <w:rsid w:val="00DA7DC2"/>
    <w:rsid w:val="00DB0D2E"/>
    <w:rsid w:val="00DB1B42"/>
    <w:rsid w:val="00DB3277"/>
    <w:rsid w:val="00DB3A61"/>
    <w:rsid w:val="00DB3C7D"/>
    <w:rsid w:val="00DC0183"/>
    <w:rsid w:val="00DC5070"/>
    <w:rsid w:val="00DC7316"/>
    <w:rsid w:val="00DD30C1"/>
    <w:rsid w:val="00DD3846"/>
    <w:rsid w:val="00DD5770"/>
    <w:rsid w:val="00DE3F62"/>
    <w:rsid w:val="00DE4855"/>
    <w:rsid w:val="00DE689F"/>
    <w:rsid w:val="00DE7CC3"/>
    <w:rsid w:val="00DF02B5"/>
    <w:rsid w:val="00DF1115"/>
    <w:rsid w:val="00DF7115"/>
    <w:rsid w:val="00DF77A0"/>
    <w:rsid w:val="00DF7CA8"/>
    <w:rsid w:val="00E019CF"/>
    <w:rsid w:val="00E03B45"/>
    <w:rsid w:val="00E05686"/>
    <w:rsid w:val="00E1081B"/>
    <w:rsid w:val="00E12C05"/>
    <w:rsid w:val="00E12C41"/>
    <w:rsid w:val="00E14318"/>
    <w:rsid w:val="00E15326"/>
    <w:rsid w:val="00E17021"/>
    <w:rsid w:val="00E17C3F"/>
    <w:rsid w:val="00E22427"/>
    <w:rsid w:val="00E254DE"/>
    <w:rsid w:val="00E27132"/>
    <w:rsid w:val="00E325A5"/>
    <w:rsid w:val="00E3339C"/>
    <w:rsid w:val="00E334A2"/>
    <w:rsid w:val="00E347C1"/>
    <w:rsid w:val="00E37576"/>
    <w:rsid w:val="00E47E5E"/>
    <w:rsid w:val="00E540AB"/>
    <w:rsid w:val="00E541DE"/>
    <w:rsid w:val="00E556B1"/>
    <w:rsid w:val="00E60B73"/>
    <w:rsid w:val="00E622B8"/>
    <w:rsid w:val="00E6301D"/>
    <w:rsid w:val="00E6344E"/>
    <w:rsid w:val="00E74827"/>
    <w:rsid w:val="00E74F08"/>
    <w:rsid w:val="00E7556D"/>
    <w:rsid w:val="00E77739"/>
    <w:rsid w:val="00E83FA3"/>
    <w:rsid w:val="00E9079C"/>
    <w:rsid w:val="00E920EA"/>
    <w:rsid w:val="00E92A84"/>
    <w:rsid w:val="00E9415A"/>
    <w:rsid w:val="00EA0342"/>
    <w:rsid w:val="00EA3F5A"/>
    <w:rsid w:val="00EA4A15"/>
    <w:rsid w:val="00EB4F58"/>
    <w:rsid w:val="00EB4FC0"/>
    <w:rsid w:val="00EB509E"/>
    <w:rsid w:val="00EB777E"/>
    <w:rsid w:val="00EC33F5"/>
    <w:rsid w:val="00EC5AA4"/>
    <w:rsid w:val="00ED2D23"/>
    <w:rsid w:val="00ED4AE5"/>
    <w:rsid w:val="00ED7C05"/>
    <w:rsid w:val="00EE061F"/>
    <w:rsid w:val="00EE210C"/>
    <w:rsid w:val="00EE358C"/>
    <w:rsid w:val="00EE60C8"/>
    <w:rsid w:val="00EE7B47"/>
    <w:rsid w:val="00EF0744"/>
    <w:rsid w:val="00EF0C01"/>
    <w:rsid w:val="00EF1038"/>
    <w:rsid w:val="00EF397F"/>
    <w:rsid w:val="00F01443"/>
    <w:rsid w:val="00F0164F"/>
    <w:rsid w:val="00F01800"/>
    <w:rsid w:val="00F02AA0"/>
    <w:rsid w:val="00F042B3"/>
    <w:rsid w:val="00F07564"/>
    <w:rsid w:val="00F16D90"/>
    <w:rsid w:val="00F17CF6"/>
    <w:rsid w:val="00F2438F"/>
    <w:rsid w:val="00F2667A"/>
    <w:rsid w:val="00F31652"/>
    <w:rsid w:val="00F31A9C"/>
    <w:rsid w:val="00F31C03"/>
    <w:rsid w:val="00F3287F"/>
    <w:rsid w:val="00F32DCF"/>
    <w:rsid w:val="00F33809"/>
    <w:rsid w:val="00F339F1"/>
    <w:rsid w:val="00F362EC"/>
    <w:rsid w:val="00F45162"/>
    <w:rsid w:val="00F51311"/>
    <w:rsid w:val="00F51482"/>
    <w:rsid w:val="00F526EA"/>
    <w:rsid w:val="00F552A5"/>
    <w:rsid w:val="00F5723B"/>
    <w:rsid w:val="00F65D9E"/>
    <w:rsid w:val="00F66ADA"/>
    <w:rsid w:val="00F70D70"/>
    <w:rsid w:val="00F72031"/>
    <w:rsid w:val="00F7630D"/>
    <w:rsid w:val="00F76394"/>
    <w:rsid w:val="00F77962"/>
    <w:rsid w:val="00F77CC0"/>
    <w:rsid w:val="00F80EC2"/>
    <w:rsid w:val="00F8687E"/>
    <w:rsid w:val="00F925DC"/>
    <w:rsid w:val="00F95A5C"/>
    <w:rsid w:val="00F961F6"/>
    <w:rsid w:val="00F973DC"/>
    <w:rsid w:val="00F97C31"/>
    <w:rsid w:val="00FA1493"/>
    <w:rsid w:val="00FA45D2"/>
    <w:rsid w:val="00FA480B"/>
    <w:rsid w:val="00FA5075"/>
    <w:rsid w:val="00FA5385"/>
    <w:rsid w:val="00FB1CBB"/>
    <w:rsid w:val="00FB32F4"/>
    <w:rsid w:val="00FB3978"/>
    <w:rsid w:val="00FB6437"/>
    <w:rsid w:val="00FC1A67"/>
    <w:rsid w:val="00FC255B"/>
    <w:rsid w:val="00FC2DAC"/>
    <w:rsid w:val="00FC7C7F"/>
    <w:rsid w:val="00FD2D14"/>
    <w:rsid w:val="00FD3465"/>
    <w:rsid w:val="00FD4AC3"/>
    <w:rsid w:val="00FD6362"/>
    <w:rsid w:val="00FE2AF6"/>
    <w:rsid w:val="00FE2C56"/>
    <w:rsid w:val="00FE664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7561A"/>
    <w:rPr>
      <w:sz w:val="24"/>
      <w:szCs w:val="24"/>
    </w:rPr>
  </w:style>
  <w:style w:type="paragraph" w:styleId="Nadpis20">
    <w:name w:val="heading 2"/>
    <w:basedOn w:val="Normln"/>
    <w:next w:val="Normln"/>
    <w:qFormat/>
    <w:rsid w:val="004A134E"/>
    <w:pPr>
      <w:keepNext/>
      <w:outlineLvl w:val="1"/>
    </w:pPr>
    <w:rPr>
      <w:szCs w:val="20"/>
    </w:rPr>
  </w:style>
  <w:style w:type="paragraph" w:styleId="Nadpis5">
    <w:name w:val="heading 5"/>
    <w:basedOn w:val="Normln"/>
    <w:next w:val="Normln"/>
    <w:qFormat/>
    <w:rsid w:val="004A134E"/>
    <w:pPr>
      <w:keepNext/>
      <w:ind w:left="120"/>
      <w:outlineLvl w:val="4"/>
    </w:pPr>
    <w:rPr>
      <w:szCs w:val="20"/>
    </w:rPr>
  </w:style>
  <w:style w:type="paragraph" w:styleId="Nadpis6">
    <w:name w:val="heading 6"/>
    <w:basedOn w:val="Normln"/>
    <w:next w:val="Normln"/>
    <w:qFormat/>
    <w:rsid w:val="00934C85"/>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7B0E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ev">
    <w:name w:val="Title"/>
    <w:basedOn w:val="Normln"/>
    <w:qFormat/>
    <w:rsid w:val="006735F2"/>
    <w:pPr>
      <w:jc w:val="center"/>
    </w:pPr>
    <w:rPr>
      <w:b/>
      <w:sz w:val="32"/>
      <w:szCs w:val="20"/>
    </w:rPr>
  </w:style>
  <w:style w:type="paragraph" w:styleId="Zpat">
    <w:name w:val="footer"/>
    <w:basedOn w:val="Normln"/>
    <w:rsid w:val="00227C62"/>
    <w:pPr>
      <w:tabs>
        <w:tab w:val="center" w:pos="4536"/>
        <w:tab w:val="right" w:pos="9072"/>
      </w:tabs>
    </w:pPr>
  </w:style>
  <w:style w:type="character" w:styleId="slostrnky">
    <w:name w:val="page number"/>
    <w:basedOn w:val="Standardnpsmoodstavce"/>
    <w:rsid w:val="00227C62"/>
  </w:style>
  <w:style w:type="character" w:styleId="Hypertextovodkaz">
    <w:name w:val="Hyperlink"/>
    <w:basedOn w:val="Standardnpsmoodstavce"/>
    <w:rsid w:val="002F449B"/>
    <w:rPr>
      <w:color w:val="0000FF"/>
      <w:u w:val="single"/>
    </w:rPr>
  </w:style>
  <w:style w:type="paragraph" w:styleId="Titulek">
    <w:name w:val="caption"/>
    <w:basedOn w:val="Normln"/>
    <w:next w:val="Normln"/>
    <w:unhideWhenUsed/>
    <w:qFormat/>
    <w:rsid w:val="0062139D"/>
    <w:rPr>
      <w:b/>
      <w:bCs/>
      <w:sz w:val="20"/>
      <w:szCs w:val="20"/>
    </w:rPr>
  </w:style>
  <w:style w:type="paragraph" w:styleId="Textbubliny">
    <w:name w:val="Balloon Text"/>
    <w:basedOn w:val="Normln"/>
    <w:link w:val="TextbublinyChar"/>
    <w:rsid w:val="00AE2786"/>
    <w:rPr>
      <w:rFonts w:ascii="Tahoma" w:hAnsi="Tahoma" w:cs="Tahoma"/>
      <w:sz w:val="16"/>
      <w:szCs w:val="16"/>
    </w:rPr>
  </w:style>
  <w:style w:type="character" w:customStyle="1" w:styleId="TextbublinyChar">
    <w:name w:val="Text bubliny Char"/>
    <w:basedOn w:val="Standardnpsmoodstavce"/>
    <w:link w:val="Textbubliny"/>
    <w:rsid w:val="00AE2786"/>
    <w:rPr>
      <w:rFonts w:ascii="Tahoma" w:hAnsi="Tahoma" w:cs="Tahoma"/>
      <w:sz w:val="16"/>
      <w:szCs w:val="16"/>
    </w:rPr>
  </w:style>
  <w:style w:type="paragraph" w:styleId="Zhlav">
    <w:name w:val="header"/>
    <w:basedOn w:val="Normln"/>
    <w:link w:val="ZhlavChar"/>
    <w:uiPriority w:val="99"/>
    <w:rsid w:val="00600452"/>
    <w:pPr>
      <w:tabs>
        <w:tab w:val="center" w:pos="4536"/>
        <w:tab w:val="right" w:pos="9072"/>
      </w:tabs>
    </w:pPr>
  </w:style>
  <w:style w:type="character" w:customStyle="1" w:styleId="ZhlavChar">
    <w:name w:val="Záhlaví Char"/>
    <w:basedOn w:val="Standardnpsmoodstavce"/>
    <w:link w:val="Zhlav"/>
    <w:uiPriority w:val="99"/>
    <w:rsid w:val="00600452"/>
    <w:rPr>
      <w:sz w:val="24"/>
      <w:szCs w:val="24"/>
    </w:rPr>
  </w:style>
  <w:style w:type="character" w:styleId="Zdraznnjemn">
    <w:name w:val="Subtle Emphasis"/>
    <w:uiPriority w:val="19"/>
    <w:qFormat/>
    <w:rsid w:val="00E74827"/>
    <w:rPr>
      <w:i/>
      <w:iCs/>
      <w:color w:val="5A5A5A"/>
    </w:rPr>
  </w:style>
  <w:style w:type="paragraph" w:styleId="Zkladntext2">
    <w:name w:val="Body Text 2"/>
    <w:basedOn w:val="Normln"/>
    <w:link w:val="Zkladntext2Char"/>
    <w:rsid w:val="00E77739"/>
    <w:pPr>
      <w:jc w:val="both"/>
    </w:pPr>
    <w:rPr>
      <w:rFonts w:ascii="Arial" w:hAnsi="Arial"/>
      <w:color w:val="0000FF"/>
      <w:sz w:val="22"/>
      <w:szCs w:val="20"/>
    </w:rPr>
  </w:style>
  <w:style w:type="character" w:customStyle="1" w:styleId="Zkladntext2Char">
    <w:name w:val="Základní text 2 Char"/>
    <w:basedOn w:val="Standardnpsmoodstavce"/>
    <w:link w:val="Zkladntext2"/>
    <w:rsid w:val="00E77739"/>
    <w:rPr>
      <w:rFonts w:ascii="Arial" w:hAnsi="Arial"/>
      <w:color w:val="0000FF"/>
      <w:sz w:val="22"/>
    </w:rPr>
  </w:style>
  <w:style w:type="paragraph" w:styleId="Zkladntext">
    <w:name w:val="Body Text"/>
    <w:aliases w:val="Základní text Char Char Char"/>
    <w:basedOn w:val="Normln"/>
    <w:link w:val="ZkladntextChar1"/>
    <w:rsid w:val="00E77739"/>
    <w:pPr>
      <w:jc w:val="both"/>
    </w:pPr>
    <w:rPr>
      <w:color w:val="0000FF"/>
      <w:szCs w:val="20"/>
    </w:rPr>
  </w:style>
  <w:style w:type="character" w:customStyle="1" w:styleId="ZkladntextChar">
    <w:name w:val="Základní text Char"/>
    <w:basedOn w:val="Standardnpsmoodstavce"/>
    <w:link w:val="Zkladntext"/>
    <w:rsid w:val="00E77739"/>
    <w:rPr>
      <w:sz w:val="24"/>
      <w:szCs w:val="24"/>
    </w:rPr>
  </w:style>
  <w:style w:type="character" w:customStyle="1" w:styleId="ZkladntextChar1">
    <w:name w:val="Základní text Char1"/>
    <w:aliases w:val="Základní text Char Char Char Char"/>
    <w:basedOn w:val="Standardnpsmoodstavce"/>
    <w:link w:val="Zkladntext"/>
    <w:rsid w:val="00E77739"/>
    <w:rPr>
      <w:color w:val="0000FF"/>
      <w:sz w:val="24"/>
    </w:rPr>
  </w:style>
  <w:style w:type="paragraph" w:styleId="Odstavecseseznamem">
    <w:name w:val="List Paragraph"/>
    <w:basedOn w:val="Normln"/>
    <w:uiPriority w:val="34"/>
    <w:qFormat/>
    <w:rsid w:val="005554E5"/>
    <w:pPr>
      <w:ind w:left="720"/>
      <w:contextualSpacing/>
    </w:pPr>
  </w:style>
  <w:style w:type="paragraph" w:customStyle="1" w:styleId="nadpis2">
    <w:name w:val="nadpis 2"/>
    <w:basedOn w:val="Normln"/>
    <w:rsid w:val="001E37A8"/>
    <w:pPr>
      <w:numPr>
        <w:numId w:val="14"/>
      </w:numPr>
      <w:spacing w:before="120"/>
      <w:jc w:val="both"/>
    </w:pPr>
    <w:rPr>
      <w:b/>
    </w:rPr>
  </w:style>
</w:styles>
</file>

<file path=word/webSettings.xml><?xml version="1.0" encoding="utf-8"?>
<w:webSettings xmlns:r="http://schemas.openxmlformats.org/officeDocument/2006/relationships" xmlns:w="http://schemas.openxmlformats.org/wordprocessingml/2006/main">
  <w:divs>
    <w:div w:id="125199865">
      <w:bodyDiv w:val="1"/>
      <w:marLeft w:val="0"/>
      <w:marRight w:val="0"/>
      <w:marTop w:val="0"/>
      <w:marBottom w:val="0"/>
      <w:divBdr>
        <w:top w:val="none" w:sz="0" w:space="0" w:color="auto"/>
        <w:left w:val="none" w:sz="0" w:space="0" w:color="auto"/>
        <w:bottom w:val="none" w:sz="0" w:space="0" w:color="auto"/>
        <w:right w:val="none" w:sz="0" w:space="0" w:color="auto"/>
      </w:divBdr>
    </w:div>
    <w:div w:id="332611643">
      <w:bodyDiv w:val="1"/>
      <w:marLeft w:val="0"/>
      <w:marRight w:val="0"/>
      <w:marTop w:val="0"/>
      <w:marBottom w:val="0"/>
      <w:divBdr>
        <w:top w:val="none" w:sz="0" w:space="0" w:color="auto"/>
        <w:left w:val="none" w:sz="0" w:space="0" w:color="auto"/>
        <w:bottom w:val="none" w:sz="0" w:space="0" w:color="auto"/>
        <w:right w:val="none" w:sz="0" w:space="0" w:color="auto"/>
      </w:divBdr>
    </w:div>
    <w:div w:id="424959725">
      <w:bodyDiv w:val="1"/>
      <w:marLeft w:val="0"/>
      <w:marRight w:val="0"/>
      <w:marTop w:val="0"/>
      <w:marBottom w:val="0"/>
      <w:divBdr>
        <w:top w:val="none" w:sz="0" w:space="0" w:color="auto"/>
        <w:left w:val="none" w:sz="0" w:space="0" w:color="auto"/>
        <w:bottom w:val="none" w:sz="0" w:space="0" w:color="auto"/>
        <w:right w:val="none" w:sz="0" w:space="0" w:color="auto"/>
      </w:divBdr>
    </w:div>
    <w:div w:id="514658143">
      <w:bodyDiv w:val="1"/>
      <w:marLeft w:val="0"/>
      <w:marRight w:val="0"/>
      <w:marTop w:val="0"/>
      <w:marBottom w:val="0"/>
      <w:divBdr>
        <w:top w:val="none" w:sz="0" w:space="0" w:color="auto"/>
        <w:left w:val="none" w:sz="0" w:space="0" w:color="auto"/>
        <w:bottom w:val="none" w:sz="0" w:space="0" w:color="auto"/>
        <w:right w:val="none" w:sz="0" w:space="0" w:color="auto"/>
      </w:divBdr>
    </w:div>
    <w:div w:id="989939377">
      <w:bodyDiv w:val="1"/>
      <w:marLeft w:val="0"/>
      <w:marRight w:val="0"/>
      <w:marTop w:val="0"/>
      <w:marBottom w:val="0"/>
      <w:divBdr>
        <w:top w:val="none" w:sz="0" w:space="0" w:color="auto"/>
        <w:left w:val="none" w:sz="0" w:space="0" w:color="auto"/>
        <w:bottom w:val="none" w:sz="0" w:space="0" w:color="auto"/>
        <w:right w:val="none" w:sz="0" w:space="0" w:color="auto"/>
      </w:divBdr>
    </w:div>
    <w:div w:id="1225944368">
      <w:bodyDiv w:val="1"/>
      <w:marLeft w:val="0"/>
      <w:marRight w:val="0"/>
      <w:marTop w:val="0"/>
      <w:marBottom w:val="0"/>
      <w:divBdr>
        <w:top w:val="none" w:sz="0" w:space="0" w:color="auto"/>
        <w:left w:val="none" w:sz="0" w:space="0" w:color="auto"/>
        <w:bottom w:val="none" w:sz="0" w:space="0" w:color="auto"/>
        <w:right w:val="none" w:sz="0" w:space="0" w:color="auto"/>
      </w:divBdr>
    </w:div>
    <w:div w:id="1265528627">
      <w:bodyDiv w:val="1"/>
      <w:marLeft w:val="0"/>
      <w:marRight w:val="0"/>
      <w:marTop w:val="0"/>
      <w:marBottom w:val="0"/>
      <w:divBdr>
        <w:top w:val="none" w:sz="0" w:space="0" w:color="auto"/>
        <w:left w:val="none" w:sz="0" w:space="0" w:color="auto"/>
        <w:bottom w:val="none" w:sz="0" w:space="0" w:color="auto"/>
        <w:right w:val="none" w:sz="0" w:space="0" w:color="auto"/>
      </w:divBdr>
      <w:divsChild>
        <w:div w:id="347680329">
          <w:marLeft w:val="0"/>
          <w:marRight w:val="0"/>
          <w:marTop w:val="0"/>
          <w:marBottom w:val="0"/>
          <w:divBdr>
            <w:top w:val="none" w:sz="0" w:space="0" w:color="auto"/>
            <w:left w:val="none" w:sz="0" w:space="0" w:color="auto"/>
            <w:bottom w:val="none" w:sz="0" w:space="0" w:color="auto"/>
            <w:right w:val="none" w:sz="0" w:space="0" w:color="auto"/>
          </w:divBdr>
          <w:divsChild>
            <w:div w:id="1551456299">
              <w:marLeft w:val="0"/>
              <w:marRight w:val="0"/>
              <w:marTop w:val="0"/>
              <w:marBottom w:val="0"/>
              <w:divBdr>
                <w:top w:val="none" w:sz="0" w:space="0" w:color="auto"/>
                <w:left w:val="none" w:sz="0" w:space="0" w:color="auto"/>
                <w:bottom w:val="none" w:sz="0" w:space="0" w:color="auto"/>
                <w:right w:val="none" w:sz="0" w:space="0" w:color="auto"/>
              </w:divBdr>
              <w:divsChild>
                <w:div w:id="1464418858">
                  <w:marLeft w:val="0"/>
                  <w:marRight w:val="0"/>
                  <w:marTop w:val="0"/>
                  <w:marBottom w:val="0"/>
                  <w:divBdr>
                    <w:top w:val="none" w:sz="0" w:space="0" w:color="auto"/>
                    <w:left w:val="none" w:sz="0" w:space="0" w:color="auto"/>
                    <w:bottom w:val="none" w:sz="0" w:space="0" w:color="auto"/>
                    <w:right w:val="none" w:sz="0" w:space="0" w:color="auto"/>
                  </w:divBdr>
                  <w:divsChild>
                    <w:div w:id="1923949746">
                      <w:marLeft w:val="0"/>
                      <w:marRight w:val="0"/>
                      <w:marTop w:val="0"/>
                      <w:marBottom w:val="0"/>
                      <w:divBdr>
                        <w:top w:val="none" w:sz="0" w:space="0" w:color="auto"/>
                        <w:left w:val="none" w:sz="0" w:space="0" w:color="auto"/>
                        <w:bottom w:val="none" w:sz="0" w:space="0" w:color="auto"/>
                        <w:right w:val="none" w:sz="0" w:space="0" w:color="auto"/>
                      </w:divBdr>
                      <w:divsChild>
                        <w:div w:id="181405659">
                          <w:marLeft w:val="0"/>
                          <w:marRight w:val="0"/>
                          <w:marTop w:val="0"/>
                          <w:marBottom w:val="0"/>
                          <w:divBdr>
                            <w:top w:val="none" w:sz="0" w:space="0" w:color="auto"/>
                            <w:left w:val="none" w:sz="0" w:space="0" w:color="auto"/>
                            <w:bottom w:val="none" w:sz="0" w:space="0" w:color="auto"/>
                            <w:right w:val="none" w:sz="0" w:space="0" w:color="auto"/>
                          </w:divBdr>
                          <w:divsChild>
                            <w:div w:id="449520609">
                              <w:marLeft w:val="0"/>
                              <w:marRight w:val="0"/>
                              <w:marTop w:val="0"/>
                              <w:marBottom w:val="0"/>
                              <w:divBdr>
                                <w:top w:val="none" w:sz="0" w:space="0" w:color="auto"/>
                                <w:left w:val="none" w:sz="0" w:space="0" w:color="auto"/>
                                <w:bottom w:val="none" w:sz="0" w:space="0" w:color="auto"/>
                                <w:right w:val="none" w:sz="0" w:space="0" w:color="auto"/>
                              </w:divBdr>
                              <w:divsChild>
                                <w:div w:id="1229345495">
                                  <w:marLeft w:val="0"/>
                                  <w:marRight w:val="0"/>
                                  <w:marTop w:val="0"/>
                                  <w:marBottom w:val="0"/>
                                  <w:divBdr>
                                    <w:top w:val="none" w:sz="0" w:space="0" w:color="auto"/>
                                    <w:left w:val="none" w:sz="0" w:space="0" w:color="auto"/>
                                    <w:bottom w:val="none" w:sz="0" w:space="0" w:color="auto"/>
                                    <w:right w:val="none" w:sz="0" w:space="0" w:color="auto"/>
                                  </w:divBdr>
                                  <w:divsChild>
                                    <w:div w:id="527793613">
                                      <w:marLeft w:val="0"/>
                                      <w:marRight w:val="0"/>
                                      <w:marTop w:val="0"/>
                                      <w:marBottom w:val="0"/>
                                      <w:divBdr>
                                        <w:top w:val="none" w:sz="0" w:space="0" w:color="auto"/>
                                        <w:left w:val="none" w:sz="0" w:space="0" w:color="auto"/>
                                        <w:bottom w:val="none" w:sz="0" w:space="0" w:color="auto"/>
                                        <w:right w:val="none" w:sz="0" w:space="0" w:color="auto"/>
                                      </w:divBdr>
                                      <w:divsChild>
                                        <w:div w:id="58191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22346885">
      <w:bodyDiv w:val="1"/>
      <w:marLeft w:val="0"/>
      <w:marRight w:val="0"/>
      <w:marTop w:val="0"/>
      <w:marBottom w:val="0"/>
      <w:divBdr>
        <w:top w:val="none" w:sz="0" w:space="0" w:color="auto"/>
        <w:left w:val="none" w:sz="0" w:space="0" w:color="auto"/>
        <w:bottom w:val="none" w:sz="0" w:space="0" w:color="auto"/>
        <w:right w:val="none" w:sz="0" w:space="0" w:color="auto"/>
      </w:divBdr>
    </w:div>
    <w:div w:id="1332178104">
      <w:bodyDiv w:val="1"/>
      <w:marLeft w:val="0"/>
      <w:marRight w:val="0"/>
      <w:marTop w:val="0"/>
      <w:marBottom w:val="0"/>
      <w:divBdr>
        <w:top w:val="none" w:sz="0" w:space="0" w:color="auto"/>
        <w:left w:val="none" w:sz="0" w:space="0" w:color="auto"/>
        <w:bottom w:val="none" w:sz="0" w:space="0" w:color="auto"/>
        <w:right w:val="none" w:sz="0" w:space="0" w:color="auto"/>
      </w:divBdr>
    </w:div>
    <w:div w:id="1349286687">
      <w:bodyDiv w:val="1"/>
      <w:marLeft w:val="0"/>
      <w:marRight w:val="0"/>
      <w:marTop w:val="0"/>
      <w:marBottom w:val="0"/>
      <w:divBdr>
        <w:top w:val="none" w:sz="0" w:space="0" w:color="auto"/>
        <w:left w:val="none" w:sz="0" w:space="0" w:color="auto"/>
        <w:bottom w:val="none" w:sz="0" w:space="0" w:color="auto"/>
        <w:right w:val="none" w:sz="0" w:space="0" w:color="auto"/>
      </w:divBdr>
    </w:div>
    <w:div w:id="1449928199">
      <w:bodyDiv w:val="1"/>
      <w:marLeft w:val="0"/>
      <w:marRight w:val="0"/>
      <w:marTop w:val="0"/>
      <w:marBottom w:val="0"/>
      <w:divBdr>
        <w:top w:val="none" w:sz="0" w:space="0" w:color="auto"/>
        <w:left w:val="none" w:sz="0" w:space="0" w:color="auto"/>
        <w:bottom w:val="none" w:sz="0" w:space="0" w:color="auto"/>
        <w:right w:val="none" w:sz="0" w:space="0" w:color="auto"/>
      </w:divBdr>
    </w:div>
    <w:div w:id="1538858063">
      <w:bodyDiv w:val="1"/>
      <w:marLeft w:val="0"/>
      <w:marRight w:val="0"/>
      <w:marTop w:val="0"/>
      <w:marBottom w:val="0"/>
      <w:divBdr>
        <w:top w:val="none" w:sz="0" w:space="0" w:color="auto"/>
        <w:left w:val="none" w:sz="0" w:space="0" w:color="auto"/>
        <w:bottom w:val="none" w:sz="0" w:space="0" w:color="auto"/>
        <w:right w:val="none" w:sz="0" w:space="0" w:color="auto"/>
      </w:divBdr>
    </w:div>
    <w:div w:id="1745374081">
      <w:bodyDiv w:val="1"/>
      <w:marLeft w:val="0"/>
      <w:marRight w:val="0"/>
      <w:marTop w:val="0"/>
      <w:marBottom w:val="0"/>
      <w:divBdr>
        <w:top w:val="none" w:sz="0" w:space="0" w:color="auto"/>
        <w:left w:val="none" w:sz="0" w:space="0" w:color="auto"/>
        <w:bottom w:val="none" w:sz="0" w:space="0" w:color="auto"/>
        <w:right w:val="none" w:sz="0" w:space="0" w:color="auto"/>
      </w:divBdr>
    </w:div>
    <w:div w:id="1762795579">
      <w:bodyDiv w:val="1"/>
      <w:marLeft w:val="0"/>
      <w:marRight w:val="0"/>
      <w:marTop w:val="0"/>
      <w:marBottom w:val="0"/>
      <w:divBdr>
        <w:top w:val="none" w:sz="0" w:space="0" w:color="auto"/>
        <w:left w:val="none" w:sz="0" w:space="0" w:color="auto"/>
        <w:bottom w:val="none" w:sz="0" w:space="0" w:color="auto"/>
        <w:right w:val="none" w:sz="0" w:space="0" w:color="auto"/>
      </w:divBdr>
    </w:div>
    <w:div w:id="1899631286">
      <w:bodyDiv w:val="1"/>
      <w:marLeft w:val="0"/>
      <w:marRight w:val="0"/>
      <w:marTop w:val="0"/>
      <w:marBottom w:val="0"/>
      <w:divBdr>
        <w:top w:val="none" w:sz="0" w:space="0" w:color="auto"/>
        <w:left w:val="none" w:sz="0" w:space="0" w:color="auto"/>
        <w:bottom w:val="none" w:sz="0" w:space="0" w:color="auto"/>
        <w:right w:val="none" w:sz="0" w:space="0" w:color="auto"/>
      </w:divBdr>
    </w:div>
    <w:div w:id="2003775249">
      <w:bodyDiv w:val="1"/>
      <w:marLeft w:val="0"/>
      <w:marRight w:val="0"/>
      <w:marTop w:val="0"/>
      <w:marBottom w:val="0"/>
      <w:divBdr>
        <w:top w:val="none" w:sz="0" w:space="0" w:color="auto"/>
        <w:left w:val="none" w:sz="0" w:space="0" w:color="auto"/>
        <w:bottom w:val="none" w:sz="0" w:space="0" w:color="auto"/>
        <w:right w:val="none" w:sz="0" w:space="0" w:color="auto"/>
      </w:divBdr>
    </w:div>
    <w:div w:id="2096631058">
      <w:bodyDiv w:val="1"/>
      <w:marLeft w:val="0"/>
      <w:marRight w:val="0"/>
      <w:marTop w:val="0"/>
      <w:marBottom w:val="0"/>
      <w:divBdr>
        <w:top w:val="none" w:sz="0" w:space="0" w:color="auto"/>
        <w:left w:val="none" w:sz="0" w:space="0" w:color="auto"/>
        <w:bottom w:val="none" w:sz="0" w:space="0" w:color="auto"/>
        <w:right w:val="none" w:sz="0" w:space="0" w:color="auto"/>
      </w:divBdr>
    </w:div>
    <w:div w:id="2144106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F48985-ABC0-4A00-B35B-FE9E69E70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10</Pages>
  <Words>2876</Words>
  <Characters>16973</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Název místnosti</vt:lpstr>
    </vt:vector>
  </TitlesOfParts>
  <Company>LAPO</Company>
  <LinksUpToDate>false</LinksUpToDate>
  <CharactersWithSpaces>19810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místnosti</dc:title>
  <dc:creator>La-Po 4.PC</dc:creator>
  <cp:lastModifiedBy>Martin Grešák</cp:lastModifiedBy>
  <cp:revision>12</cp:revision>
  <cp:lastPrinted>2017-12-05T21:15:00Z</cp:lastPrinted>
  <dcterms:created xsi:type="dcterms:W3CDTF">2017-12-05T21:15:00Z</dcterms:created>
  <dcterms:modified xsi:type="dcterms:W3CDTF">2018-05-28T08:12:00Z</dcterms:modified>
</cp:coreProperties>
</file>